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30" w:rsidRPr="00D93979" w:rsidRDefault="00AA1730" w:rsidP="00D93979">
      <w:pPr>
        <w:spacing w:before="90" w:line="276" w:lineRule="auto"/>
        <w:ind w:left="220"/>
      </w:pPr>
      <w:r w:rsidRPr="00D93979">
        <w:rPr>
          <w:b/>
        </w:rPr>
        <w:t xml:space="preserve">Σύντομη περιγραφή του Προγράμματος Καλλιέργειας Δεξιοτήτων </w:t>
      </w:r>
      <w:r w:rsidRPr="00D93979">
        <w:t>(έως 200 λέξεις)</w:t>
      </w:r>
    </w:p>
    <w:p w:rsidR="00AA1730" w:rsidRPr="00D93979" w:rsidRDefault="00AA1730" w:rsidP="00D93979">
      <w:pPr>
        <w:pStyle w:val="a3"/>
        <w:spacing w:line="276" w:lineRule="auto"/>
        <w:rPr>
          <w:sz w:val="22"/>
          <w:szCs w:val="22"/>
        </w:rPr>
      </w:pPr>
    </w:p>
    <w:p w:rsidR="00AA1730" w:rsidRPr="00D93979" w:rsidRDefault="00AA1730" w:rsidP="00D93979">
      <w:pPr>
        <w:pStyle w:val="a3"/>
        <w:spacing w:line="276" w:lineRule="auto"/>
        <w:rPr>
          <w:sz w:val="22"/>
          <w:szCs w:val="22"/>
        </w:rPr>
      </w:pPr>
    </w:p>
    <w:p w:rsidR="00AA1730" w:rsidRPr="00D93979" w:rsidRDefault="00AA1730" w:rsidP="00D93979">
      <w:pPr>
        <w:spacing w:after="120" w:line="276" w:lineRule="auto"/>
        <w:jc w:val="both"/>
      </w:pPr>
      <w:r w:rsidRPr="00D93979">
        <w:t>Σε αυτό το εργαστήριο δεξιοτήτων, που βασίζεται στο εκπαιδευτικό υλικό «</w:t>
      </w:r>
      <w:proofErr w:type="spellStart"/>
      <w:r w:rsidRPr="00D93979">
        <w:t>Αειφορία</w:t>
      </w:r>
      <w:proofErr w:type="spellEnd"/>
      <w:r w:rsidRPr="00D93979">
        <w:t xml:space="preserve"> και COVID-19», γίνεται μια προσπάθεια να αναζητηθούν, να διερευνηθούν και να εκτιμηθούν οι αιτίες και οι συνέπειες της πανδημίας </w:t>
      </w:r>
      <w:r w:rsidRPr="00D93979">
        <w:rPr>
          <w:lang w:val="en-US"/>
        </w:rPr>
        <w:t>COVID</w:t>
      </w:r>
      <w:r w:rsidRPr="00D93979">
        <w:t xml:space="preserve">-19, που σχετίζονται με το φυσικό περιβάλλον. Για τον σκοπό αυτό αναδεικνύονται και συζητούνται θέματα όπως η πολύμορφη καταστροφή των φυσικών οικοσυστημάτων, η αστόχαστη μείωση της βιοποικιλότητας, η μαζική παραγωγή, ο άκρατος καταναλωτισμός και η ανεξέλεγκτη ρύπανση του περιβάλλοντος που οδηγεί ακόμα και σε κλιματικές αλλαγές. Αυτά τα φαινομενικά ασύνδετα ζητήματα επιδιώκεται να συσχετιστούν, ώστε να διαφανούν οι πολύπλοκες σχέσεις των έμβιων οργανισμών με την αβιοτική φύση και να συνειδητοποιηθεί η υπερβολική πίεση που ασκεί ο άνθρωπος στα φυσικά οικοσυστήματα. </w:t>
      </w:r>
    </w:p>
    <w:p w:rsidR="00AA1730" w:rsidRPr="00D93979" w:rsidRDefault="00AA1730" w:rsidP="00D93979">
      <w:pPr>
        <w:spacing w:after="120" w:line="276" w:lineRule="auto"/>
        <w:jc w:val="both"/>
      </w:pPr>
      <w:r w:rsidRPr="00D93979">
        <w:t>Η θεώρηση της πανδημίας ως διεπιστημονικού ζητήματος διασυνδέεται με τους 17 Στόχους της Βιώσιμης Ανάπτυξης (</w:t>
      </w:r>
      <w:proofErr w:type="spellStart"/>
      <w:r w:rsidRPr="00D93979">
        <w:t>SDGs</w:t>
      </w:r>
      <w:proofErr w:type="spellEnd"/>
      <w:r w:rsidRPr="00D93979">
        <w:t xml:space="preserve">), όπως αυτοί ορίστηκαν από τον ΟΗΕ το 2015 στο πλαίσιο της </w:t>
      </w:r>
      <w:proofErr w:type="spellStart"/>
      <w:r w:rsidRPr="00D93979">
        <w:t>Agenda</w:t>
      </w:r>
      <w:proofErr w:type="spellEnd"/>
      <w:r w:rsidRPr="00D93979">
        <w:t xml:space="preserve"> 2030. Αυτή η προσέγγιση σήμερα αποτελεί κύριο ρεύμα σκέψης παγκοσμίως και ουσιαστικά θέτει την Εκπαίδευση για την </w:t>
      </w:r>
      <w:proofErr w:type="spellStart"/>
      <w:r w:rsidRPr="00D93979">
        <w:t>Αειφορία</w:t>
      </w:r>
      <w:proofErr w:type="spellEnd"/>
      <w:r w:rsidRPr="00D93979">
        <w:t xml:space="preserve"> ως παγκόσμια προτεραιότητα. Οι 17 </w:t>
      </w:r>
      <w:proofErr w:type="spellStart"/>
      <w:r w:rsidRPr="00D93979">
        <w:t>SDGs</w:t>
      </w:r>
      <w:proofErr w:type="spellEnd"/>
      <w:r w:rsidRPr="00D93979">
        <w:t xml:space="preserve"> αποτελούν παγκόσμιο στόχο και όραμα τόσο για την προστασία του φυσικού περιβάλλοντος όσο και για τη μείωση των κοινωνικών ανισοτήτων στον πλανήτη. Σε αυτό το εργαστήριο δεξιοτήτων οι μαθητές/</w:t>
      </w:r>
      <w:proofErr w:type="spellStart"/>
      <w:r w:rsidRPr="00D93979">
        <w:t>τριες</w:t>
      </w:r>
      <w:proofErr w:type="spellEnd"/>
      <w:r w:rsidRPr="00D93979">
        <w:t xml:space="preserve"> μαθαίνουν τους 17 </w:t>
      </w:r>
      <w:proofErr w:type="spellStart"/>
      <w:r w:rsidRPr="00D93979">
        <w:t>SDGs</w:t>
      </w:r>
      <w:proofErr w:type="spellEnd"/>
      <w:r w:rsidRPr="00D93979">
        <w:t xml:space="preserve">, διαβλέπουν τις μεταξύ τους συσχετίσεις, αιτιολογούν την αλληλεξάρτησή τους, τους  συσχετίζουν με τις αιτίες και τις συνέπειες της πανδημίας, αναδεικνύουν ότι οι συνέπειες δεν είναι μονοσήμαντες και διακρίνουν αίτια, συνέπειες και μέτρα για την αντιμετώπισή της. Τελικά, περιγράφουν την πανδημία με όρους συστημικής προσέγγισης, η οποία αποδεικνύεται έτσι ένα ιδανικό εργαλείο για τη συσχέτιση φυσικών, κοινωνικών, τεχνολογικών, ηθικών και άλλων παραμέτρων στη μελέτη των παγκόσμιων προβλημάτων. </w:t>
      </w:r>
    </w:p>
    <w:p w:rsidR="00AA1730" w:rsidRPr="00D93979" w:rsidRDefault="00AA1730" w:rsidP="00D93979">
      <w:pPr>
        <w:spacing w:after="120" w:line="276" w:lineRule="auto"/>
        <w:jc w:val="both"/>
      </w:pPr>
    </w:p>
    <w:p w:rsidR="00AA1730" w:rsidRPr="00D93979" w:rsidRDefault="00AA1730" w:rsidP="00D93979">
      <w:pPr>
        <w:spacing w:after="120" w:line="276" w:lineRule="auto"/>
        <w:ind w:right="444"/>
        <w:jc w:val="center"/>
        <w:rPr>
          <w:b/>
        </w:rPr>
      </w:pPr>
      <w:r w:rsidRPr="00D93979">
        <w:rPr>
          <w:b/>
        </w:rPr>
        <w:t>Περιγραφή βασικού θεωρητικού πλαισίου υποστήριξης του προγράμματος (έως 300 λέξεις)</w:t>
      </w:r>
    </w:p>
    <w:p w:rsidR="00AA1730" w:rsidRPr="00D93979" w:rsidRDefault="00AA1730" w:rsidP="00D93979">
      <w:pPr>
        <w:spacing w:after="120" w:line="276" w:lineRule="auto"/>
        <w:ind w:right="444"/>
        <w:jc w:val="both"/>
      </w:pPr>
    </w:p>
    <w:p w:rsidR="00D93979" w:rsidRDefault="00AA1730" w:rsidP="00D93979">
      <w:pPr>
        <w:spacing w:after="120" w:line="276" w:lineRule="auto"/>
        <w:ind w:right="19"/>
        <w:jc w:val="both"/>
      </w:pPr>
      <w:r w:rsidRPr="00D93979">
        <w:t xml:space="preserve">Η επιλογή να μελετηθεί το ζήτημα της πανδημίας COVID-19 μέσα από το πρίσμα της Εκπαίδευσης για την </w:t>
      </w:r>
      <w:proofErr w:type="spellStart"/>
      <w:r w:rsidRPr="00D93979">
        <w:t>Αειφορία</w:t>
      </w:r>
      <w:proofErr w:type="spellEnd"/>
      <w:r w:rsidRPr="00D93979">
        <w:t xml:space="preserve"> εξυπηρετεί διττό σκοπό. Αφενός επιτυγχάνεται η συστημική κατανόηση της πανδημίας και αφετέρου παρέχεται ένα απτό και βιωμένο παράδειγμα μελέτης μέσα από το οποίο προσεγγίζονται οι περισσότεροι από τους 17 Στόχους Αειφόρου Ανάπτυξης του ΟΗΕ. Με άλλα λόγια, η Εκπαίδευση για την </w:t>
      </w:r>
      <w:proofErr w:type="spellStart"/>
      <w:r w:rsidRPr="00D93979">
        <w:t>Αειφορία</w:t>
      </w:r>
      <w:proofErr w:type="spellEnd"/>
      <w:r w:rsidRPr="00D93979">
        <w:t xml:space="preserve"> προσφέρει όχι μόνο το θεωρητικό ερμηνευτικό πλαίσιο για την προσέγγιση των σύνθετων πτυχών της πανδημίας, αλλά συνεισφέρει και στην παιδαγωγική προσέγγιση της πανδημίας με διδακτικά εργαλεία που βασίζονται σε συμμετοχικές διδακτικές τεχνικές διδασκαλίας και μάθησης. Αποτελεί </w:t>
      </w:r>
      <w:proofErr w:type="spellStart"/>
      <w:r w:rsidRPr="00D93979">
        <w:t>άσκηση</w:t>
      </w:r>
      <w:proofErr w:type="spellEnd"/>
      <w:r w:rsidRPr="00D93979">
        <w:t xml:space="preserve"> </w:t>
      </w:r>
      <w:proofErr w:type="spellStart"/>
      <w:r w:rsidRPr="00D93979">
        <w:t>κοινωνικής</w:t>
      </w:r>
      <w:proofErr w:type="spellEnd"/>
      <w:r w:rsidRPr="00D93979">
        <w:t xml:space="preserve"> </w:t>
      </w:r>
      <w:proofErr w:type="spellStart"/>
      <w:r w:rsidRPr="00D93979">
        <w:t>εκπαίδευσης</w:t>
      </w:r>
      <w:proofErr w:type="spellEnd"/>
      <w:r w:rsidRPr="00D93979">
        <w:t xml:space="preserve">, με </w:t>
      </w:r>
      <w:proofErr w:type="spellStart"/>
      <w:r w:rsidRPr="00D93979">
        <w:t>στόχο</w:t>
      </w:r>
      <w:proofErr w:type="spellEnd"/>
      <w:r w:rsidRPr="00D93979">
        <w:t xml:space="preserve"> τη </w:t>
      </w:r>
      <w:proofErr w:type="spellStart"/>
      <w:r w:rsidRPr="00D93979">
        <w:t>διαμόρφωση</w:t>
      </w:r>
      <w:proofErr w:type="spellEnd"/>
      <w:r w:rsidRPr="00D93979">
        <w:t xml:space="preserve"> κριτικά σκεπτόμενων δημοκρατικών πολιτών, οι οποίοι θα </w:t>
      </w:r>
      <w:proofErr w:type="spellStart"/>
      <w:r w:rsidRPr="00D93979">
        <w:t>κάνουν</w:t>
      </w:r>
      <w:proofErr w:type="spellEnd"/>
      <w:r w:rsidRPr="00D93979">
        <w:t xml:space="preserve"> </w:t>
      </w:r>
      <w:proofErr w:type="spellStart"/>
      <w:r w:rsidRPr="00D93979">
        <w:t>δυνατη</w:t>
      </w:r>
      <w:proofErr w:type="spellEnd"/>
      <w:r w:rsidRPr="00D93979">
        <w:t xml:space="preserve">́ τη </w:t>
      </w:r>
      <w:proofErr w:type="spellStart"/>
      <w:r w:rsidRPr="00D93979">
        <w:t>σημαντικη</w:t>
      </w:r>
      <w:proofErr w:type="spellEnd"/>
      <w:r w:rsidRPr="00D93979">
        <w:t xml:space="preserve">́ </w:t>
      </w:r>
      <w:proofErr w:type="spellStart"/>
      <w:r w:rsidRPr="00D93979">
        <w:t>αλλαγη</w:t>
      </w:r>
      <w:proofErr w:type="spellEnd"/>
      <w:r w:rsidRPr="00D93979">
        <w:t xml:space="preserve">́ που </w:t>
      </w:r>
      <w:proofErr w:type="spellStart"/>
      <w:r w:rsidRPr="00D93979">
        <w:t>απαιτείται</w:t>
      </w:r>
      <w:proofErr w:type="spellEnd"/>
      <w:r w:rsidRPr="00D93979">
        <w:t xml:space="preserve"> για τον μετασχηματισμό των κοινωνιών προς την </w:t>
      </w:r>
      <w:proofErr w:type="spellStart"/>
      <w:r w:rsidRPr="00D93979">
        <w:t>αειφορία</w:t>
      </w:r>
      <w:proofErr w:type="spellEnd"/>
      <w:r w:rsidRPr="00D93979">
        <w:t xml:space="preserve">. </w:t>
      </w:r>
    </w:p>
    <w:p w:rsidR="00D93979" w:rsidRDefault="00AA1730" w:rsidP="00D93979">
      <w:pPr>
        <w:spacing w:after="120" w:line="276" w:lineRule="auto"/>
        <w:ind w:right="19"/>
        <w:jc w:val="both"/>
      </w:pPr>
      <w:r w:rsidRPr="00D93979">
        <w:t>Στο υλικό «</w:t>
      </w:r>
      <w:proofErr w:type="spellStart"/>
      <w:r w:rsidRPr="00D93979">
        <w:t>Αειφορία</w:t>
      </w:r>
      <w:proofErr w:type="spellEnd"/>
      <w:r w:rsidRPr="00D93979">
        <w:t xml:space="preserve"> και COVID-19», η Εκπαίδευση για την </w:t>
      </w:r>
      <w:proofErr w:type="spellStart"/>
      <w:r w:rsidRPr="00D93979">
        <w:t>Αειφορία</w:t>
      </w:r>
      <w:proofErr w:type="spellEnd"/>
      <w:r w:rsidRPr="00D93979">
        <w:t xml:space="preserve"> προσφέρει το θεωρητικό ερμηνευτικό πλαίσιο για την προσέγγιση των σύνθετων πτυχών της πανδημίας και συνεισφέρει στην παιδαγωγική προσέγγισή της με διδακτικά εργαλεία που βασίζονται σε συμμετοχικές διδακτικές τεχνικές διδασκαλίας και μάθησης. Πρόκειται για τεχνικές που  καλλιεργούν στους/στις μαθητές/</w:t>
      </w:r>
      <w:proofErr w:type="spellStart"/>
      <w:r w:rsidRPr="00D93979">
        <w:t>τριες</w:t>
      </w:r>
      <w:proofErr w:type="spellEnd"/>
      <w:r w:rsidRPr="00D93979">
        <w:t xml:space="preserve"> σημαντικές δεξιότητες, όπως η κριτική και συστημική σκέψη, η επικοινωνία, η </w:t>
      </w:r>
      <w:proofErr w:type="spellStart"/>
      <w:r w:rsidRPr="00D93979">
        <w:t>ενσυναίσθηση</w:t>
      </w:r>
      <w:proofErr w:type="spellEnd"/>
      <w:r w:rsidRPr="00D93979">
        <w:t xml:space="preserve">, η συνεργασία, και που θέτουν τα θεμέλια για την ανάπτυξη υπεύθυνων και ενεργών πολιτών. Επομένως, το υλικό αποτελεί άσκηση κοινωνικής εκπαίδευσης με στόχο τη διαμόρφωση κριτικά σκεπτόμενων δημοκρατικών πολιτών, οι οποίοι θα κάνουν δυνατή τη σημαντική αλλαγή που απαιτείται για τον μετασχηματισμό των κοινωνιών προς την </w:t>
      </w:r>
      <w:proofErr w:type="spellStart"/>
      <w:r w:rsidRPr="00D93979">
        <w:t>αειφορία</w:t>
      </w:r>
      <w:proofErr w:type="spellEnd"/>
      <w:r w:rsidRPr="00D93979">
        <w:t xml:space="preserve">. </w:t>
      </w:r>
    </w:p>
    <w:p w:rsidR="00D93979" w:rsidRDefault="00AA1730" w:rsidP="00D93979">
      <w:pPr>
        <w:spacing w:after="120" w:line="276" w:lineRule="auto"/>
        <w:ind w:right="19"/>
        <w:jc w:val="both"/>
      </w:pPr>
      <w:r w:rsidRPr="00D93979">
        <w:lastRenderedPageBreak/>
        <w:t xml:space="preserve">Κατά τη διάρκεια της πανδημίας </w:t>
      </w:r>
      <w:r w:rsidRPr="00D93979">
        <w:rPr>
          <w:lang w:val="en-US"/>
        </w:rPr>
        <w:t>COVID</w:t>
      </w:r>
      <w:r w:rsidRPr="00D93979">
        <w:t>-19 το παγκόσμιο ενδιαφέρον κινήθηκε γύρω από τα μέτρα που πήραν όλες οι χώρες για τον περιορισμό της διασποράς της νόσου, γύρω από τον αγώνα της ιατρικής κοινότητας για την εξεύρεση φαρμάκων και εμβολίων και γύρω από τις συνέπειες της πανδημίας σε όλες τις εκφάνσεις της κοινωνικής, οικονομικής και προσωπικής ζωής των πολιτών. Ωστόσο, η αναζήτηση των αιτίων έμεινε κυρίως μεταξύ των μελών μιας στενής επιστημονικής κοινότητας και δεν απασχόλησε ουσιαστικά τις κοινωνίες.</w:t>
      </w:r>
    </w:p>
    <w:p w:rsidR="00AA1730" w:rsidRPr="00D93979" w:rsidRDefault="00AA1730" w:rsidP="00D93979">
      <w:pPr>
        <w:spacing w:after="120" w:line="276" w:lineRule="auto"/>
        <w:ind w:right="19"/>
        <w:jc w:val="both"/>
      </w:pPr>
      <w:r w:rsidRPr="00D93979">
        <w:t xml:space="preserve">Για τον λόγο αυτό σε αυτό το εργαστήριο δεξιοτήτων επιδιώκεται να αναδειχθούν τα αίτια της πανδημίας </w:t>
      </w:r>
      <w:r w:rsidRPr="00D93979">
        <w:rPr>
          <w:lang w:val="en-US"/>
        </w:rPr>
        <w:t>COVID</w:t>
      </w:r>
      <w:r w:rsidRPr="00D93979">
        <w:t xml:space="preserve">-19 που σχετίζονται με την ανθρώπινη επίδραση στα φυσικά οικοσυστήματα. Επιδιώκεται επιπλέον να αναδειχθεί η πολυπλοκότητα των περιβαλλοντικών προβλημάτων με εργαλείο τους 17 </w:t>
      </w:r>
      <w:r w:rsidRPr="00D93979">
        <w:rPr>
          <w:lang w:val="en-US"/>
        </w:rPr>
        <w:t>SGDs</w:t>
      </w:r>
      <w:r w:rsidRPr="00D93979">
        <w:t>, που υποστηρίζουν εκπαιδευτικά τη διεπιστημονική και συστημική προσέγγιση και ταυτόχρονα αναπτύσσουν την κριτική σκέψη των μαθητών/τριών.</w:t>
      </w:r>
    </w:p>
    <w:p w:rsidR="00AA1730" w:rsidRPr="00D93979" w:rsidRDefault="00AA1730" w:rsidP="00D93979">
      <w:pPr>
        <w:pStyle w:val="a3"/>
        <w:spacing w:before="7" w:line="276" w:lineRule="auto"/>
        <w:rPr>
          <w:sz w:val="22"/>
          <w:szCs w:val="22"/>
        </w:rPr>
      </w:pPr>
    </w:p>
    <w:p w:rsidR="00AA1730" w:rsidRPr="00D93979" w:rsidRDefault="00AA1730" w:rsidP="00D93979">
      <w:pPr>
        <w:pStyle w:val="2"/>
        <w:spacing w:before="90" w:line="276" w:lineRule="auto"/>
        <w:ind w:left="220"/>
        <w:jc w:val="left"/>
        <w:rPr>
          <w:sz w:val="22"/>
          <w:szCs w:val="22"/>
        </w:rPr>
      </w:pPr>
      <w:r w:rsidRPr="00D93979">
        <w:rPr>
          <w:noProof/>
          <w:sz w:val="22"/>
          <w:szCs w:val="22"/>
          <w:lang w:eastAsia="el-GR"/>
        </w:rPr>
        <mc:AlternateContent>
          <mc:Choice Requires="wps">
            <w:drawing>
              <wp:anchor distT="0" distB="0" distL="0" distR="0" simplePos="0" relativeHeight="251659264" behindDoc="1" locked="0" layoutInCell="1" allowOverlap="1" wp14:anchorId="411BFFBD" wp14:editId="6A2EC130">
                <wp:simplePos x="0" y="0"/>
                <wp:positionH relativeFrom="page">
                  <wp:posOffset>843280</wp:posOffset>
                </wp:positionH>
                <wp:positionV relativeFrom="paragraph">
                  <wp:posOffset>251460</wp:posOffset>
                </wp:positionV>
                <wp:extent cx="6088380" cy="634365"/>
                <wp:effectExtent l="0" t="0" r="26670" b="13335"/>
                <wp:wrapTopAndBottom/>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634365"/>
                        </a:xfrm>
                        <a:prstGeom prst="rect">
                          <a:avLst/>
                        </a:prstGeom>
                        <a:noFill/>
                        <a:ln w="6096">
                          <a:solidFill>
                            <a:srgbClr val="000000"/>
                          </a:solidFill>
                          <a:prstDash val="solid"/>
                          <a:miter lim="800000"/>
                          <a:headEnd/>
                          <a:tailEnd/>
                        </a:ln>
                      </wps:spPr>
                      <wps:txbx>
                        <w:txbxContent>
                          <w:p w:rsidR="00AA1730" w:rsidRDefault="00AA1730" w:rsidP="00AA1730">
                            <w:pPr>
                              <w:pStyle w:val="a3"/>
                              <w:spacing w:before="1"/>
                              <w:rPr>
                                <w:rFonts w:ascii="Times New Roman"/>
                                <w:b/>
                                <w:sz w:val="29"/>
                              </w:rPr>
                            </w:pPr>
                          </w:p>
                          <w:p w:rsidR="00AA1730" w:rsidRDefault="00AA1730" w:rsidP="00AA1730">
                            <w:pPr>
                              <w:pStyle w:val="a3"/>
                              <w:ind w:left="108"/>
                              <w:rPr>
                                <w:rFonts w:ascii="Times New Roman"/>
                              </w:rPr>
                            </w:pPr>
                            <w:r>
                              <w:rPr>
                                <w:rFonts w:ascii="Times New Roman"/>
                              </w:rPr>
                              <w:t>OXI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BFFBD" id="_x0000_t202" coordsize="21600,21600" o:spt="202" path="m,l,21600r21600,l21600,xe">
                <v:stroke joinstyle="miter"/>
                <v:path gradientshapeok="t" o:connecttype="rect"/>
              </v:shapetype>
              <v:shape id="Πλαίσιο κειμένου 1" o:spid="_x0000_s1026" type="#_x0000_t202" style="position:absolute;left:0;text-align:left;margin-left:66.4pt;margin-top:19.8pt;width:479.4pt;height:49.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" filled="f" strokeweight=".48pt">
                <v:textbox inset="0,0,0,0">
                  <w:txbxContent>
                    <w:p w:rsidR="00AA1730" w:rsidRDefault="00AA1730" w:rsidP="00AA1730">
                      <w:pPr>
                        <w:pStyle w:val="a3"/>
                        <w:spacing w:before="1"/>
                        <w:rPr>
                          <w:rFonts w:ascii="Times New Roman"/>
                          <w:b/>
                          <w:sz w:val="29"/>
                        </w:rPr>
                      </w:pPr>
                    </w:p>
                    <w:p w:rsidR="00AA1730" w:rsidRDefault="00AA1730" w:rsidP="00AA1730">
                      <w:pPr>
                        <w:pStyle w:val="a3"/>
                        <w:ind w:left="108"/>
                        <w:rPr>
                          <w:rFonts w:ascii="Times New Roman"/>
                        </w:rPr>
                      </w:pPr>
                      <w:r>
                        <w:rPr>
                          <w:rFonts w:ascii="Times New Roman"/>
                        </w:rPr>
                        <w:t>OXI</w:t>
                      </w:r>
                    </w:p>
                  </w:txbxContent>
                </v:textbox>
                <w10:wrap type="topAndBottom" anchorx="page"/>
              </v:shape>
            </w:pict>
          </mc:Fallback>
        </mc:AlternateContent>
      </w:r>
      <w:r w:rsidRPr="00D93979">
        <w:rPr>
          <w:sz w:val="22"/>
          <w:szCs w:val="22"/>
        </w:rPr>
        <w:t>Προσβασιμότητα</w:t>
      </w:r>
    </w:p>
    <w:p w:rsidR="00AA1730" w:rsidRPr="00D93979" w:rsidRDefault="00AA1730" w:rsidP="00D93979">
      <w:pPr>
        <w:pStyle w:val="a3"/>
        <w:spacing w:line="276" w:lineRule="auto"/>
        <w:rPr>
          <w:b/>
          <w:sz w:val="22"/>
          <w:szCs w:val="22"/>
        </w:rPr>
      </w:pPr>
    </w:p>
    <w:p w:rsidR="00AA1730" w:rsidRPr="00D93979" w:rsidRDefault="00AA1730" w:rsidP="00D93979">
      <w:pPr>
        <w:pStyle w:val="a3"/>
        <w:spacing w:before="7" w:line="276" w:lineRule="auto"/>
        <w:rPr>
          <w:sz w:val="22"/>
          <w:szCs w:val="22"/>
        </w:rPr>
      </w:pPr>
    </w:p>
    <w:p w:rsidR="00AA1730" w:rsidRPr="00D93979" w:rsidRDefault="00AA1730" w:rsidP="00D93979">
      <w:pPr>
        <w:spacing w:line="276" w:lineRule="auto"/>
        <w:ind w:left="220"/>
        <w:rPr>
          <w:b/>
        </w:rPr>
      </w:pPr>
      <w:r w:rsidRPr="00D93979">
        <w:rPr>
          <w:b/>
        </w:rPr>
        <w:t>Δυνατότητα επέκτασης</w:t>
      </w:r>
    </w:p>
    <w:p w:rsidR="00AA1730" w:rsidRPr="00D93979" w:rsidRDefault="00AA1730" w:rsidP="00D93979">
      <w:pPr>
        <w:spacing w:line="276" w:lineRule="auto"/>
      </w:pPr>
    </w:p>
    <w:p w:rsidR="00AA1730" w:rsidRPr="00D93979" w:rsidRDefault="00AA1730" w:rsidP="00D93979">
      <w:pPr>
        <w:spacing w:line="276" w:lineRule="auto"/>
        <w:jc w:val="both"/>
        <w:rPr>
          <w:rFonts w:eastAsia="Times New Roman"/>
        </w:rPr>
      </w:pPr>
      <w:r w:rsidRPr="00D93979">
        <w:rPr>
          <w:rFonts w:eastAsia="Times New Roman"/>
        </w:rPr>
        <w:t xml:space="preserve">Οι εκπαιδευτικές δραστηριότητες και η μεθοδολογία που ακολουθείται </w:t>
      </w:r>
      <w:proofErr w:type="spellStart"/>
      <w:r w:rsidRPr="00D93979">
        <w:rPr>
          <w:rFonts w:eastAsia="Times New Roman"/>
        </w:rPr>
        <w:t>στ</w:t>
      </w:r>
      <w:proofErr w:type="spellEnd"/>
      <w:r w:rsidRPr="00D93979">
        <w:rPr>
          <w:rFonts w:eastAsia="Times New Roman"/>
          <w:lang w:val="en-US"/>
        </w:rPr>
        <w:t>o</w:t>
      </w:r>
      <w:r w:rsidRPr="00D93979">
        <w:rPr>
          <w:rFonts w:eastAsia="Times New Roman"/>
        </w:rPr>
        <w:t xml:space="preserve"> συγκεκριμένο εργαστήριο δεξιοτήτων μπορούν να αξιοποιηθούν σε αντίστοιχα μεγάλα ζητήματα που απασχολούν τη διεθνή κοινότητα, θέτουν διλήμματα και </w:t>
      </w:r>
      <w:proofErr w:type="spellStart"/>
      <w:r w:rsidRPr="00D93979">
        <w:rPr>
          <w:rFonts w:eastAsia="Times New Roman"/>
        </w:rPr>
        <w:t>αλληλεπιδρούν</w:t>
      </w:r>
      <w:proofErr w:type="spellEnd"/>
      <w:r w:rsidRPr="00D93979">
        <w:rPr>
          <w:rFonts w:eastAsia="Times New Roman"/>
        </w:rPr>
        <w:t xml:space="preserve"> με τομείς της ιδιωτικής και δημόσιας ζωής, της οικονομίας και του φυσικού περιβάλλοντος. Τέτοια ζητήματα μπορεί να είναι η μετανάστευση στον 21</w:t>
      </w:r>
      <w:r w:rsidRPr="00D93979">
        <w:rPr>
          <w:rFonts w:eastAsia="Times New Roman"/>
          <w:vertAlign w:val="superscript"/>
        </w:rPr>
        <w:t>ο</w:t>
      </w:r>
      <w:r w:rsidRPr="00D93979">
        <w:rPr>
          <w:rFonts w:eastAsia="Times New Roman"/>
        </w:rPr>
        <w:t xml:space="preserve"> αιώνα και οι επιπτώσεις της στην οικονομία, την κοινωνία, και το φυσικό περιβάλλον σε διεθνές, εθνικό ή τοπικό επίπεδο,  η κλιματική κρίση και οι αλλαγές που απαιτούνται για την αντιμετώπισή της σε διεθνές, εθνικό, τοπικό, δημόσιο ή ιδιωτικό επίπεδο, οι σύγχρονες καινοτομίες της τεχνολογίας, όπως η τεχνητή νοημοσύνη και οι επιπτώσεις της στην κοινωνική και οικονομική ζωή ενός τόπου κλπ.</w:t>
      </w:r>
    </w:p>
    <w:p w:rsidR="00AA1730" w:rsidRPr="00D93979" w:rsidRDefault="00AA1730" w:rsidP="00D93979">
      <w:pPr>
        <w:spacing w:line="276" w:lineRule="auto"/>
        <w:jc w:val="both"/>
        <w:rPr>
          <w:rFonts w:eastAsia="Times New Roman"/>
        </w:rPr>
      </w:pPr>
      <w:r w:rsidRPr="00D93979">
        <w:rPr>
          <w:rFonts w:eastAsia="Times New Roman"/>
        </w:rPr>
        <w:t>Το συγκεκριμένο εργαστήριο δεξιοτήτων μπορεί να δεχθεί επέκταση στο 2</w:t>
      </w:r>
      <w:r w:rsidRPr="00D93979">
        <w:rPr>
          <w:rFonts w:eastAsia="Times New Roman"/>
          <w:vertAlign w:val="superscript"/>
        </w:rPr>
        <w:t>ο</w:t>
      </w:r>
      <w:r w:rsidRPr="00D93979">
        <w:rPr>
          <w:rFonts w:eastAsia="Times New Roman"/>
        </w:rPr>
        <w:t xml:space="preserve"> εργαστήριο, καθώς στο συνολικό υλικό (ενότητα Α «</w:t>
      </w:r>
      <w:r w:rsidRPr="00D93979">
        <w:rPr>
          <w:rFonts w:eastAsia="Times New Roman"/>
          <w:lang w:val="en-US"/>
        </w:rPr>
        <w:t>COVID</w:t>
      </w:r>
      <w:r w:rsidRPr="00D93979">
        <w:rPr>
          <w:rFonts w:eastAsia="Times New Roman"/>
        </w:rPr>
        <w:t>-19 και φυσικό περιβάλλον») υπάρχουν πίνακες, χάρτες και διαγράμματα που αποτυπώνουν ακόμα περισσότερες συνέπειες της πανδημίας που αφορούν τα φυσικά οικοσυστήματα του πλανήτη (σελ. 19-39).</w:t>
      </w:r>
    </w:p>
    <w:p w:rsidR="00AA1730" w:rsidRPr="00D93979" w:rsidRDefault="00AA1730" w:rsidP="00D93979">
      <w:pPr>
        <w:pStyle w:val="TableParagraph"/>
        <w:tabs>
          <w:tab w:val="left" w:pos="298"/>
        </w:tabs>
        <w:spacing w:before="159" w:line="276" w:lineRule="auto"/>
        <w:ind w:right="19"/>
        <w:jc w:val="both"/>
        <w:rPr>
          <w:rFonts w:ascii="Calibri" w:hAnsi="Calibri" w:cs="Calibri"/>
        </w:rPr>
      </w:pPr>
      <w:r w:rsidRPr="00D93979">
        <w:rPr>
          <w:rFonts w:ascii="Calibri" w:hAnsi="Calibri" w:cs="Calibri"/>
        </w:rPr>
        <w:t>Μπορεί να γίνει επέκταση στο 3</w:t>
      </w:r>
      <w:r w:rsidRPr="00D93979">
        <w:rPr>
          <w:rFonts w:ascii="Calibri" w:hAnsi="Calibri" w:cs="Calibri"/>
          <w:vertAlign w:val="superscript"/>
        </w:rPr>
        <w:t>ο</w:t>
      </w:r>
      <w:r w:rsidRPr="00D93979">
        <w:rPr>
          <w:rFonts w:ascii="Calibri" w:hAnsi="Calibri" w:cs="Calibri"/>
        </w:rPr>
        <w:t xml:space="preserve"> εργαστήριο με την αξιοποίηση του ΦΕ «Η σύγχρονη κατανόηση των πανδημιών και οι στρατηγικές διαχείρισης» από την ενότητα Γ «COVID-19 και παραπληροφόρηση» (σελ. 124-126), όπου επιχειρείται σύνδεση των χαρακτηριστικών γνωρισμάτων μιας πανδημίας με τις στρατηγικές διαχείρισής της και η κατανόηση των πανδημιών ως σύνθετων προβλημάτων που χρειάζονται διαχείριση σε πολλαπλά επίπεδα (ιατρικό, κοινωνικό, οικονομικό, περιβαλλοντικό).</w:t>
      </w:r>
    </w:p>
    <w:p w:rsidR="00AA1730" w:rsidRPr="00D93979" w:rsidRDefault="00AA1730" w:rsidP="00D93979">
      <w:pPr>
        <w:pStyle w:val="a3"/>
        <w:spacing w:before="7" w:line="276" w:lineRule="auto"/>
        <w:jc w:val="both"/>
        <w:rPr>
          <w:rFonts w:eastAsia="Times New Roman"/>
          <w:sz w:val="22"/>
          <w:szCs w:val="22"/>
        </w:rPr>
      </w:pPr>
    </w:p>
    <w:p w:rsidR="00AA1730" w:rsidRPr="00D93979" w:rsidRDefault="00AA1730" w:rsidP="00D93979">
      <w:pPr>
        <w:pStyle w:val="a3"/>
        <w:spacing w:before="7" w:line="276" w:lineRule="auto"/>
        <w:jc w:val="both"/>
        <w:rPr>
          <w:b/>
          <w:sz w:val="22"/>
          <w:szCs w:val="22"/>
        </w:rPr>
        <w:sectPr w:rsidR="00AA1730" w:rsidRPr="00D93979" w:rsidSect="0072506E">
          <w:pgSz w:w="12240" w:h="15840"/>
          <w:pgMar w:top="1440" w:right="1220" w:bottom="280" w:left="1220" w:header="720" w:footer="720" w:gutter="0"/>
          <w:cols w:space="720"/>
        </w:sectPr>
      </w:pPr>
      <w:r w:rsidRPr="00D93979">
        <w:rPr>
          <w:rFonts w:eastAsia="Times New Roman"/>
          <w:sz w:val="22"/>
          <w:szCs w:val="22"/>
        </w:rPr>
        <w:t>Τέλος, μπορεί να γίνει επέκταση στο 6</w:t>
      </w:r>
      <w:r w:rsidRPr="00D93979">
        <w:rPr>
          <w:rFonts w:eastAsia="Times New Roman"/>
          <w:sz w:val="22"/>
          <w:szCs w:val="22"/>
          <w:vertAlign w:val="superscript"/>
        </w:rPr>
        <w:t>ο</w:t>
      </w:r>
      <w:r w:rsidRPr="00D93979">
        <w:rPr>
          <w:rFonts w:eastAsia="Times New Roman"/>
          <w:sz w:val="22"/>
          <w:szCs w:val="22"/>
        </w:rPr>
        <w:t xml:space="preserve"> εργαστήριο με τη χρήση του ΦΕ «Θέτουμε προτεραιότητες» (σελ. 176-178) και του ΦΕ «Αντιθέσεις» (181-189) από τη θεματική ενότητα Ε «</w:t>
      </w:r>
      <w:r w:rsidRPr="00D93979">
        <w:rPr>
          <w:rFonts w:eastAsia="Times New Roman"/>
          <w:sz w:val="22"/>
          <w:szCs w:val="22"/>
          <w:lang w:val="en-US"/>
        </w:rPr>
        <w:t>COVID</w:t>
      </w:r>
      <w:r w:rsidRPr="00D93979">
        <w:rPr>
          <w:rFonts w:eastAsia="Times New Roman"/>
          <w:sz w:val="22"/>
          <w:szCs w:val="22"/>
        </w:rPr>
        <w:t>-19 και 17</w:t>
      </w:r>
      <w:r w:rsidRPr="00D93979">
        <w:rPr>
          <w:rFonts w:eastAsia="Times New Roman"/>
          <w:sz w:val="22"/>
          <w:szCs w:val="22"/>
          <w:lang w:val="en-US"/>
        </w:rPr>
        <w:t>SDGs</w:t>
      </w:r>
      <w:r w:rsidRPr="00D93979">
        <w:rPr>
          <w:rFonts w:eastAsia="Times New Roman"/>
          <w:sz w:val="22"/>
          <w:szCs w:val="22"/>
        </w:rPr>
        <w:t xml:space="preserve">». Με το πρώτο </w:t>
      </w:r>
      <w:r w:rsidRPr="00D93979">
        <w:rPr>
          <w:sz w:val="22"/>
          <w:szCs w:val="22"/>
        </w:rPr>
        <w:t>οι μαθητές/</w:t>
      </w:r>
      <w:proofErr w:type="spellStart"/>
      <w:r w:rsidRPr="00D93979">
        <w:rPr>
          <w:sz w:val="22"/>
          <w:szCs w:val="22"/>
        </w:rPr>
        <w:t>τριες</w:t>
      </w:r>
      <w:proofErr w:type="spellEnd"/>
      <w:r w:rsidRPr="00D93979">
        <w:rPr>
          <w:sz w:val="22"/>
          <w:szCs w:val="22"/>
        </w:rPr>
        <w:t xml:space="preserve"> μαθαίνουν να επιχειρηματολογούν υποστηρίζοντας συσχετίσεις μεταξύ των 17 </w:t>
      </w:r>
      <w:r w:rsidRPr="00D93979">
        <w:rPr>
          <w:sz w:val="22"/>
          <w:szCs w:val="22"/>
          <w:lang w:val="en-US"/>
        </w:rPr>
        <w:t>SDGs</w:t>
      </w:r>
      <w:r w:rsidRPr="00D93979">
        <w:rPr>
          <w:sz w:val="22"/>
          <w:szCs w:val="22"/>
        </w:rPr>
        <w:t xml:space="preserve"> και με το δεύτερο μαθαίνουν να εντοπίζουν ποια αντίθεση υποδηλώνεται μέσα σε δυο εικόνες που αναφέρ</w:t>
      </w:r>
      <w:r w:rsidR="00D93979">
        <w:rPr>
          <w:sz w:val="22"/>
          <w:szCs w:val="22"/>
        </w:rPr>
        <w:t>ονται στην ίδια όψη της πανδημία.</w:t>
      </w:r>
      <w:bookmarkStart w:id="0" w:name="_GoBack"/>
      <w:bookmarkEnd w:id="0"/>
    </w:p>
    <w:p w:rsidR="00374805" w:rsidRDefault="00374805"/>
    <w:sectPr w:rsidR="003748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5E"/>
    <w:rsid w:val="00374805"/>
    <w:rsid w:val="005E3291"/>
    <w:rsid w:val="007E165E"/>
    <w:rsid w:val="00AA1730"/>
    <w:rsid w:val="00D939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4043"/>
  <w15:chartTrackingRefBased/>
  <w15:docId w15:val="{7FDA7DF4-1297-4295-94A6-3A852A01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730"/>
    <w:pPr>
      <w:widowControl w:val="0"/>
      <w:autoSpaceDE w:val="0"/>
      <w:autoSpaceDN w:val="0"/>
      <w:spacing w:after="0" w:line="240" w:lineRule="auto"/>
    </w:pPr>
    <w:rPr>
      <w:rFonts w:ascii="Calibri" w:eastAsia="Calibri" w:hAnsi="Calibri" w:cs="Calibri"/>
    </w:rPr>
  </w:style>
  <w:style w:type="paragraph" w:styleId="2">
    <w:name w:val="heading 2"/>
    <w:basedOn w:val="a"/>
    <w:link w:val="2Char"/>
    <w:uiPriority w:val="9"/>
    <w:unhideWhenUsed/>
    <w:qFormat/>
    <w:rsid w:val="00AA1730"/>
    <w:pPr>
      <w:ind w:left="25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A1730"/>
    <w:rPr>
      <w:rFonts w:ascii="Calibri" w:eastAsia="Calibri" w:hAnsi="Calibri" w:cs="Calibri"/>
      <w:b/>
      <w:bCs/>
      <w:sz w:val="24"/>
      <w:szCs w:val="24"/>
    </w:rPr>
  </w:style>
  <w:style w:type="paragraph" w:styleId="a3">
    <w:name w:val="Body Text"/>
    <w:basedOn w:val="a"/>
    <w:link w:val="Char"/>
    <w:uiPriority w:val="1"/>
    <w:qFormat/>
    <w:rsid w:val="00AA1730"/>
    <w:rPr>
      <w:sz w:val="24"/>
      <w:szCs w:val="24"/>
    </w:rPr>
  </w:style>
  <w:style w:type="character" w:customStyle="1" w:styleId="Char">
    <w:name w:val="Σώμα κειμένου Char"/>
    <w:basedOn w:val="a0"/>
    <w:link w:val="a3"/>
    <w:uiPriority w:val="1"/>
    <w:rsid w:val="00AA1730"/>
    <w:rPr>
      <w:rFonts w:ascii="Calibri" w:eastAsia="Calibri" w:hAnsi="Calibri" w:cs="Calibri"/>
      <w:sz w:val="24"/>
      <w:szCs w:val="24"/>
    </w:rPr>
  </w:style>
  <w:style w:type="paragraph" w:customStyle="1" w:styleId="TableParagraph">
    <w:name w:val="Table Paragraph"/>
    <w:basedOn w:val="a"/>
    <w:uiPriority w:val="1"/>
    <w:qFormat/>
    <w:rsid w:val="00AA1730"/>
    <w:rPr>
      <w:rFonts w:ascii="Times New Roman" w:eastAsia="Times New Roman" w:hAnsi="Times New Roman" w:cs="Times New Roman"/>
    </w:rPr>
  </w:style>
  <w:style w:type="paragraph" w:styleId="a4">
    <w:name w:val="List Paragraph"/>
    <w:basedOn w:val="a"/>
    <w:uiPriority w:val="34"/>
    <w:qFormat/>
    <w:rsid w:val="00AA1730"/>
    <w:pPr>
      <w:ind w:left="140" w:right="37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1038</Words>
  <Characters>5608</Characters>
  <Application>Microsoft Office Word</Application>
  <DocSecurity>0</DocSecurity>
  <Lines>46</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4</cp:revision>
  <dcterms:created xsi:type="dcterms:W3CDTF">2024-12-06T07:40:00Z</dcterms:created>
  <dcterms:modified xsi:type="dcterms:W3CDTF">2024-12-06T12:27:00Z</dcterms:modified>
</cp:coreProperties>
</file>