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E4" w:rsidRDefault="00B81B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81BE4" w:rsidRDefault="0056502B">
      <w:pPr>
        <w:spacing w:before="120" w:after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Δομή Προγράμματος Καλλιέργειας Δεξιοτήτων </w:t>
      </w:r>
    </w:p>
    <w:p w:rsidR="00B81BE4" w:rsidRDefault="00B81BE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81BE4" w:rsidRDefault="00B81BE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9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9"/>
        <w:gridCol w:w="6620"/>
      </w:tblGrid>
      <w:tr w:rsidR="00B81BE4">
        <w:trPr>
          <w:trHeight w:val="393"/>
          <w:jc w:val="center"/>
        </w:trPr>
        <w:tc>
          <w:tcPr>
            <w:tcW w:w="2169" w:type="dxa"/>
            <w:shd w:val="clear" w:color="auto" w:fill="FBD4B4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Εργαστήριο</w:t>
            </w:r>
          </w:p>
        </w:tc>
        <w:tc>
          <w:tcPr>
            <w:tcW w:w="6620" w:type="dxa"/>
            <w:shd w:val="clear" w:color="auto" w:fill="FBD4B4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Περιγραφή δραστηριοτήτων </w:t>
            </w: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Τίτλος εργαστηρίου</w:t>
            </w:r>
          </w:p>
          <w:p w:rsidR="00B81BE4" w:rsidRDefault="0056502B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«Γινόμαστε ομάδα»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9" name="Οβά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sz w:val="28"/>
                                      <w:highlight w:val="lightGray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  <w:vAlign w:val="center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Διάρκεια 1 διδακτική ώρα: Εργαστήρι ομαδοποίησης</w:t>
            </w:r>
          </w:p>
          <w:p w:rsidR="00B81BE4" w:rsidRDefault="0056502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Μοιράζουμε </w:t>
            </w:r>
            <w:hyperlink r:id="rId25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μικρές καρτέλες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στους μαθητές/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τριες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και τους ζητούμε να γράψουν 2 από τα αγαπημένα τους αθλήματα (ομαδικά ή ατομικά). Σύμφωνα με αυτό, διαμορφώνουμε ομάδες με βάση, όσο το δυνατόν γίνεται, το άθλημα που επιλέγουν. Στη συνέχεια, μοιράζουμε </w:t>
            </w:r>
            <w:hyperlink r:id="rId26">
              <w:r>
                <w:rPr>
                  <w:rFonts w:ascii="Calibri" w:eastAsia="Calibri" w:hAnsi="Calibri" w:cs="Calibri"/>
                  <w:b/>
                  <w:color w:val="0563C1"/>
                  <w:sz w:val="22"/>
                  <w:szCs w:val="22"/>
                  <w:u w:val="single"/>
                </w:rPr>
                <w:t>φύλλο εργασίας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και ζωγραφίζουν την ομάδα τους με τα διακριτικά των αθλημάτων, που επέλεξαν (π. χ. πάνω σε άλογα, με μπάλα μπάσκετ, με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ρακέτα κ. ά.). Παρουσιάζουν την ομάδα τους και γράφουν τους κανόνες που θα ορίζουν τη λειτουργία της  ομάδας τους. Διατυπώνουν το δικό τους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σύνθημα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και κατασκευάζουν μια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πρωτότυπη σημαία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που θα συμβολίζει την ομάδα τους.</w:t>
            </w: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Τίτλος εργαστηρίου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«Παίζουμε με τις λέξεις» 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8" name="Οβά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Διάρκεια 1 διδακτική ώρα:</w:t>
            </w:r>
          </w:p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Μοιράζουμε σε κάθε ομάδα ένα χαρτί με τη λέξη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φιλώ = αγαπώ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Εντοπίζουμε τη σημασία της στο λεξικό (έντυπο ή ψηφιακό) και την καταγράφουμε. Στη συνέχεια,  ζητάμε να φτιάξουν σύνθετες λέξεις (φιλόσοφος, φιλοπόλεμος, φιλειρηνικός, φίλαθλος) και τις τοποθετούμε στην τάξη. Διαβάζουμε την </w:t>
            </w:r>
            <w:hyperlink r:id="rId2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αντίστοιχη διαφάνεια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</w:rPr>
              <w:t xml:space="preserve">διαφ.2),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από το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point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της Δομής, όπου αναφέρεται στη διαφορά της έννοιας «φίλαθλος» και «οπαδός». Με γνώμονα τη λέξη «αθλητής/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» και με τα παράγωγα ή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σύνθετα (π.χ. φίλαθλος/η/ο, αθλητικός/ή/ό, αθλούμαι κ.ά.)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φτιάχνουν τη δική τους </w:t>
            </w:r>
            <w:hyperlink r:id="rId29">
              <w:r>
                <w:rPr>
                  <w:rFonts w:ascii="Calibri" w:eastAsia="Calibri" w:hAnsi="Calibri" w:cs="Calibri"/>
                  <w:b/>
                  <w:color w:val="0563C1"/>
                  <w:sz w:val="22"/>
                  <w:szCs w:val="22"/>
                  <w:u w:val="single"/>
                </w:rPr>
                <w:t>μικρή πρωτότυπη ιστορ</w:t>
              </w:r>
              <w:r>
                <w:rPr>
                  <w:rFonts w:ascii="Calibri" w:eastAsia="Calibri" w:hAnsi="Calibri" w:cs="Calibri"/>
                  <w:b/>
                  <w:color w:val="0563C1"/>
                  <w:sz w:val="22"/>
                  <w:szCs w:val="22"/>
                  <w:u w:val="single"/>
                </w:rPr>
                <w:t>ία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(10-15 σειρές), παρουσιάζοντας τα όνειρα και τους στόχους των αθλητών/τριών, καθώς και την επίπονη προσπάθειά τους και τις στερήσεις τους. Την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οπτικοποιούν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πάνω σε χαρτόνι, σαν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κόμικ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και την τοποθετούν στην τάξη.</w:t>
            </w:r>
          </w:p>
          <w:p w:rsidR="00B81BE4" w:rsidRDefault="00B81BE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Τίτλος εργαστηρίου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«Αθλητισμός: μια ιστορία από παλιά!» 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11" name="Οβά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1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  <w:vAlign w:val="center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Διάρκεια 1 διδακτική ώρα: </w:t>
            </w:r>
          </w:p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Αναδρομή σε ιστορικά δεδομένα. Εδώ, οι ομάδες αναλαμβάνουν την πρώτη τους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αποστολή για έρευνα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και καταγραφή αποτελεσμάτων. Αφού διαβάσουμε τη </w:t>
            </w:r>
            <w:hyperlink r:id="rId3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διαφάνεια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(διαφ.4), όπου αναφέρονται τα ιστορικά δεδομένα των αθλητικών γεγονότων, από την αρχαιότητα. Παρουσιάζουμε σχετικό ερωτηματολόγιο στις ομάδες ( </w:t>
            </w:r>
            <w:hyperlink r:id="rId32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Ολυμπιακοί αγώνες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). Αφού τους μοιράσουμε τις ερωτήσεις, τους αφήνουμε να το συμπληρώσουν. Έπειτα από συζήτηση και έρευνα στο διαδίκτυο, συντάσσουν και  παρουσιάζουν, στην ολομέλεια, τις απαντήσεις τους.</w:t>
            </w: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Τίτλος ε</w:t>
            </w:r>
            <w:r>
              <w:rPr>
                <w:rFonts w:ascii="Cambria" w:eastAsia="Cambria" w:hAnsi="Cambria" w:cs="Cambria"/>
                <w:b/>
              </w:rPr>
              <w:t>ργαστηρίου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«Εμείς οι φίλαθλοι» 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10" name="Οβά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  <w:vAlign w:val="center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Διάρκεια 1 διδακτική ώρα:</w:t>
            </w:r>
          </w:p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Διοργανώνουμε, σε συνεργασία με τον καθηγητή/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της Φυσικής Αγωγής,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αθλητικούς αγώνες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όπου οι ομάδες συμμετέχουν είτε ως αθλητές, είτε παρακολουθούν ως φίλαθλοι. Κατά τη διάρκεια των αγώνων οι μαθητές/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τριες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καταγράφουν τις συμπεριφορές των φιλάθλων, σε όλες τις περιπτώσεις: νίκης ή ήττας. Εδώ, στο πλαίσιο της συμπερίληψης, λαμβάνουμε σχετ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ικά μέτρα για τη συμμετοχή όλων των μαθητών. Στον ποδοσφαιρικό αγώνα, εφόσον υπάρχουν μαθητές/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τριες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με προβλήματα όρασης, χρησιμοποιούμε τις μπάλες με το ειδικό κουδουνάκι (φροντίζουμε να πραγματοποιηθούν σε κλειστό χώρο). Στην περίπτωση της επιλογής του μ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πάσκετ, μπορούν να παίξουν με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καρέκλες, οι οποίες θα τοποθετηθούν στον χώρο και θα ανταγωνιστούν στην κατάκτηση πόντων, μέσα από εύστοχα καλάθια.</w:t>
            </w: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Τίτλος εργαστηρίου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«Αναζητώντας την αιτία.» 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13" name="Οβά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1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Διάρκεια 1 διδακτική ώρα:</w:t>
            </w:r>
          </w:p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Προβολή του βίντεο : </w:t>
            </w:r>
            <w:hyperlink r:id="rId35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«Πανηγυρισμοί στο Καλλιμάρμαρο στάδιο»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(διαφ.19). Μετά την προβολή του βίντεο και σε συνδυασμό με την καταγραφή της συμπεριφοράς των μαθητών, κατά τη διά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ρκεια των αθλητικών αγώνων (εργαστήρι 4), ο/η  εκπαιδευτικός θέτει ερωτήματα, που αφορούν στη συμπεριφορά των φιλάθλων και των αθλητών, με στόχο τη διατύπωση συμπερασμάτων.</w:t>
            </w:r>
          </w:p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Υπάρχουν διαφορετικές ομάδες ανάμεσα στους θεατές; Αυτό δημιουργεί πρόβλημα; Τι τους ενώνει; Τι τους χωρίζει; Γιατί μπορεί να νιώσουν οργή; Πώς εκφράζουν τα συναισθήματά τους; </w:t>
            </w:r>
          </w:p>
          <w:p w:rsidR="00B81BE4" w:rsidRDefault="0056502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Οι ομάδες σημειώνουν τις απαντήσεις τους και στη συνέχεια, συζητούν για τα αίτι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 που οδηγούν κάποιον/α σε βίαιη συμπεριφορά. Ανακοινώνουν τα συμπεράσματά τους και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καταγράφουν σε χαρτόνια λέξεις – κλειδιά για τα αίτια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που μπορεί να «γεννούν» το κοινωνικό φαινόμενο της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οπαδικής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βίας. Αναφέρουν γεγονότα που μπορεί να γνωρίζουν και τα 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νακαλούν.</w:t>
            </w: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Τίτλος εργαστηρίου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«Ώρα για δράση!» 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12" name="Οβά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1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  <w:vAlign w:val="center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Διάρκεια 1 διδακτική ώρα:</w:t>
            </w:r>
          </w:p>
          <w:p w:rsidR="00B81BE4" w:rsidRDefault="0056502B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Με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προσκεκλημένο εκπρόσωπο από τη </w:t>
            </w:r>
            <w:hyperlink r:id="rId37">
              <w:r>
                <w:rPr>
                  <w:rFonts w:ascii="Calibri" w:eastAsia="Calibri" w:hAnsi="Calibri" w:cs="Calibri"/>
                  <w:b/>
                  <w:color w:val="0563C1"/>
                  <w:sz w:val="22"/>
                  <w:szCs w:val="22"/>
                  <w:u w:val="single"/>
                </w:rPr>
                <w:t>Δομή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«Εις το όνομα του Άλκη»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"https://drive.google.com/file/d/1jDBRGstjpIeTYCBox5WkYTVhcn4PB8Fr/view?usp=drive_link"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>pdf</w:t>
            </w:r>
            <w:proofErr w:type="spellEnd"/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 xml:space="preserve"> της Δομής</w:t>
            </w:r>
            <w:r>
              <w:rPr>
                <w:color w:val="1155CC"/>
                <w:u w:val="single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), συζητούμε  γεγονότα που έχουν γίνει μέσα και έξω από το γήπεδο και πώς θα μπορούσαν να αποφευχθούν. Βασικό ερώτημα: είναι η παιδεία η λύσ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 στην  αντιμετώπιση της βίας, οποιασδήποτε μορφής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;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Πώς μπορεί να επηρεάσει το κοινωνικό περιβάλλον ενός παιδιού, τη μετέπειτα ζωή του; Στο πλαίσιο της σχολικής μονάδας, μπορούν οι καθηγητές/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τριες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να επηρεάσουν τις συμπεριφορές των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παραβατικών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μαθητών/τριώ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ν; Οι μαθητές/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τριες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μοιράζονται τις σκέψεις και τα συναισθήματά τους και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σε χαρτόνια γράφουν τις λύσεις στα αίτια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που κατέγραψαν στο προηγούμενο εργαστήρι (εργ.6) . Εφόσον υπάρχει πρόσβαση στο διαδίκτυο και σε συνεργασία με τον/την εκπαιδευτικό της Πληροφ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ορικής, παίζουμε </w:t>
            </w:r>
            <w:hyperlink r:id="rId38">
              <w:r>
                <w:rPr>
                  <w:rFonts w:ascii="Calibri" w:eastAsia="Calibri" w:hAnsi="Calibri" w:cs="Calibri"/>
                  <w:b/>
                  <w:color w:val="0563C1"/>
                  <w:sz w:val="22"/>
                  <w:szCs w:val="22"/>
                  <w:u w:val="single"/>
                </w:rPr>
                <w:t>το δικό μας ψηφιακό παιχνίδι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με τις λέξεις-συμπεριφορές που ανήκουν ή όχι στο πνεύμα του αθλητισμού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wordwall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kahoot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).                                                           </w:t>
            </w:r>
          </w:p>
        </w:tc>
      </w:tr>
      <w:tr w:rsidR="00B81BE4">
        <w:trPr>
          <w:trHeight w:val="1552"/>
          <w:jc w:val="center"/>
        </w:trPr>
        <w:tc>
          <w:tcPr>
            <w:tcW w:w="2169" w:type="dxa"/>
            <w:vAlign w:val="center"/>
          </w:tcPr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Τ</w:t>
            </w:r>
            <w:r>
              <w:rPr>
                <w:rFonts w:ascii="Cambria" w:eastAsia="Cambria" w:hAnsi="Cambria" w:cs="Cambria"/>
                <w:b/>
              </w:rPr>
              <w:t>ίτλος εργαστηρίου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«Μιλάμε στην κοινωνία.» </w:t>
            </w:r>
          </w:p>
          <w:p w:rsidR="00B81BE4" w:rsidRDefault="0056502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85445" cy="385445"/>
                      <wp:effectExtent l="0" t="0" r="0" b="0"/>
                      <wp:docPr id="14" name="Οβά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978" y="3599978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25400" cap="flat" cmpd="sng">
                                <a:solidFill>
                                  <a:srgbClr val="B66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1BE4" w:rsidRDefault="0056502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ka-AcidGR-DiaryGirl" w:eastAsia="Aka-AcidGR-DiaryGirl" w:hAnsi="Aka-AcidGR-DiaryGirl" w:cs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85445" cy="385445"/>
                      <wp:effectExtent b="0" l="0" r="0" t="0"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44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620" w:type="dxa"/>
            <w:vAlign w:val="center"/>
          </w:tcPr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Διάρκεια 1 διδακτική ώρα:</w:t>
            </w:r>
          </w:p>
          <w:p w:rsidR="00B81BE4" w:rsidRDefault="0056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Σε συνεργασία με τον/την υπεύθυνο/η  της θεατρικής αγωγής οργανώνουμε την παρουσίαση του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δρώμενου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που περιγράφεται στο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point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της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Δομής </w:t>
            </w:r>
            <w:hyperlink r:id="rId4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«Μια υποθετική ιστορία»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(διαφ.23,24,25). Οι μαθητές/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τριες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χωρίζονται σε ομάδες και αναλαμβάνουν να γράψο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υν διαλόγους, τους οποίους δραματοποιούν μέσα στην τάξη. Χρησιμοποιούν τις ερωτήσεις του «σεναρίου», ώστε κάθε ομάδα να γράψει από ένα σενάριο: τι θα γινόταν αν ο «Γιώργος» αποφάσιζε να πάει μαζί με τους άλλους και τι θα γινόταν, αν έκανε άλλη επιλογή και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ποια θα μπορούσε να είναι αυτή. </w:t>
            </w:r>
          </w:p>
          <w:p w:rsidR="00B81BE4" w:rsidRDefault="00B8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81BE4" w:rsidRDefault="00B81BE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81BE4" w:rsidRDefault="00B81BE4">
      <w:pPr>
        <w:spacing w:after="0" w:line="276" w:lineRule="auto"/>
        <w:jc w:val="both"/>
        <w:rPr>
          <w:rFonts w:ascii="Cambria" w:eastAsia="Cambria" w:hAnsi="Cambria" w:cs="Cambria"/>
        </w:rPr>
      </w:pPr>
    </w:p>
    <w:p w:rsidR="00B81BE4" w:rsidRDefault="00B81BE4">
      <w:pPr>
        <w:spacing w:after="0" w:line="276" w:lineRule="auto"/>
        <w:jc w:val="both"/>
        <w:rPr>
          <w:rFonts w:ascii="Cambria" w:eastAsia="Cambria" w:hAnsi="Cambria" w:cs="Cambria"/>
        </w:rPr>
      </w:pPr>
    </w:p>
    <w:p w:rsidR="00B81BE4" w:rsidRDefault="00B81BE4"/>
    <w:sectPr w:rsidR="00B81BE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ka-AcidGR-DiaryGi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E4"/>
    <w:rsid w:val="0056502B"/>
    <w:rsid w:val="008D672D"/>
    <w:rsid w:val="00B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F525"/>
  <w15:docId w15:val="{B1A8AFC4-D5D0-409F-8C60-E4EF28F5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Πλέγμα πίνακα1"/>
    <w:basedOn w:val="a1"/>
    <w:next w:val="a4"/>
    <w:uiPriority w:val="59"/>
    <w:rsid w:val="00E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4"/>
    <w:uiPriority w:val="59"/>
    <w:rsid w:val="00E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50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5088D"/>
    <w:rPr>
      <w:kern w:val="0"/>
    </w:rPr>
  </w:style>
  <w:style w:type="paragraph" w:styleId="a6">
    <w:name w:val="footer"/>
    <w:basedOn w:val="a"/>
    <w:link w:val="Char0"/>
    <w:uiPriority w:val="99"/>
    <w:unhideWhenUsed/>
    <w:rsid w:val="00650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5088D"/>
    <w:rPr>
      <w:kern w:val="0"/>
    </w:rPr>
  </w:style>
  <w:style w:type="paragraph" w:customStyle="1" w:styleId="11">
    <w:name w:val="Βασικό1"/>
    <w:rsid w:val="006F72D4"/>
    <w:pPr>
      <w:spacing w:after="0" w:line="240" w:lineRule="auto"/>
    </w:pPr>
    <w:rPr>
      <w:sz w:val="20"/>
      <w:szCs w:val="20"/>
    </w:rPr>
  </w:style>
  <w:style w:type="character" w:styleId="-">
    <w:name w:val="Hyperlink"/>
    <w:basedOn w:val="a0"/>
    <w:uiPriority w:val="99"/>
    <w:unhideWhenUsed/>
    <w:rsid w:val="004304F7"/>
    <w:rPr>
      <w:color w:val="0563C1" w:themeColor="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4304F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304F7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9F535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83051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aSEkIu_xSY-3TfCQsA-pdVJJSTLFnwUv/edit?usp=drive_link&amp;ouid=111843701558823479370&amp;rtpof=true&amp;sd=true" TargetMode="External"/><Relationship Id="rId3" Type="http://schemas.openxmlformats.org/officeDocument/2006/relationships/settings" Target="settings.xml"/><Relationship Id="rId34" Type="http://schemas.openxmlformats.org/officeDocument/2006/relationships/image" Target="media/image15.png"/><Relationship Id="rId42" Type="http://schemas.openxmlformats.org/officeDocument/2006/relationships/fontTable" Target="fontTable.xml"/><Relationship Id="rId25" Type="http://schemas.openxmlformats.org/officeDocument/2006/relationships/hyperlink" Target="https://docs.google.com/document/d/1slki7hQyN7qOdbSmyvbPglxYjMm-UCDi/edit?usp=drive_link&amp;ouid=111843701558823479370&amp;rtpof=true&amp;sd=true" TargetMode="External"/><Relationship Id="rId33" Type="http://schemas.openxmlformats.org/officeDocument/2006/relationships/image" Target="media/image12.png"/><Relationship Id="rId38" Type="http://schemas.openxmlformats.org/officeDocument/2006/relationships/hyperlink" Target="https://wordwall.net/resource/587411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google.com/document/d/1wjk_zLF_HIVVy9Gqq719HO4h_30EX2aU/edit?usp=drive_link&amp;ouid=111843701558823479370&amp;rtpof=true&amp;sd=true" TargetMode="External"/><Relationship Id="rId41" Type="http://schemas.openxmlformats.org/officeDocument/2006/relationships/hyperlink" Target="https://docs.google.com/document/d/1M_oNCgLDe4k8YMsqbygXZIkP0zBSQXT3/edit?usp=drive_link&amp;ouid=111843701558823479370&amp;rtpof=true&amp;sd=true" TargetMode="External"/><Relationship Id="rId1" Type="http://schemas.openxmlformats.org/officeDocument/2006/relationships/customXml" Target="../customXml/item1.xml"/><Relationship Id="rId24" Type="http://schemas.openxmlformats.org/officeDocument/2006/relationships/image" Target="media/image11.png"/><Relationship Id="rId32" Type="http://schemas.openxmlformats.org/officeDocument/2006/relationships/hyperlink" Target="https://docs.google.com/document/d/1zsXSABFVo0vgQYA1w5vABYtV6N4JzIF-/edit?usp=drive_link&amp;ouid=111843701558823479370&amp;rtpof=true&amp;sd=true" TargetMode="External"/><Relationship Id="rId37" Type="http://schemas.openxmlformats.org/officeDocument/2006/relationships/hyperlink" Target="https://www.inthenameofalkis.com/" TargetMode="External"/><Relationship Id="rId40" Type="http://schemas.openxmlformats.org/officeDocument/2006/relationships/image" Target="media/image16.png"/><Relationship Id="rId5" Type="http://schemas.openxmlformats.org/officeDocument/2006/relationships/image" Target="media/image1.gif"/><Relationship Id="rId28" Type="http://schemas.openxmlformats.org/officeDocument/2006/relationships/hyperlink" Target="https://drive.google.com/file/d/1RZRseonVrbiLcFUySJsWJOlySTceSg8o/view?usp=drive_link" TargetMode="External"/><Relationship Id="rId36" Type="http://schemas.openxmlformats.org/officeDocument/2006/relationships/image" Target="media/image14.png"/><Relationship Id="rId31" Type="http://schemas.openxmlformats.org/officeDocument/2006/relationships/hyperlink" Target="https://docs.google.com/document/d/1C90-MrM6sc26XuHFfW08zt8oVkRTHDZk/edit?usp=drive_link&amp;ouid=111843701558823479370&amp;rtpof=true&amp;sd=true" TargetMode="External"/><Relationship Id="rId4" Type="http://schemas.openxmlformats.org/officeDocument/2006/relationships/webSettings" Target="webSettings.xml"/><Relationship Id="rId27" Type="http://schemas.openxmlformats.org/officeDocument/2006/relationships/image" Target="media/image9.png"/><Relationship Id="rId30" Type="http://schemas.openxmlformats.org/officeDocument/2006/relationships/image" Target="media/image13.png"/><Relationship Id="rId35" Type="http://schemas.openxmlformats.org/officeDocument/2006/relationships/hyperlink" Target="https://drive.google.com/file/d/1gUv1Etf0zO7pyog8Tl7Ob7B8IDLE-trw/view?usp=drive_lin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7oVlP9dvuLjhJbKlMI/Lg00cA==">CgMxLjAyCGguZ2pkZ3hzMgloLjMwajB6bGwyCWguMWZvYjl0ZTIJaC4zem55c2g3MgloLjJldDkycDAyCGgudHlqY3d0OAByITFkRWw3ZHZUTnJfX2hIUG9QUkJfVko3V3FON0x4ck91VQ==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1084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Στειακάκης Χρυσοβαλάντης</cp:lastModifiedBy>
  <cp:revision>3</cp:revision>
  <dcterms:created xsi:type="dcterms:W3CDTF">2024-04-09T19:11:00Z</dcterms:created>
  <dcterms:modified xsi:type="dcterms:W3CDTF">2024-07-30T08:15:00Z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df3bf1e408dffb7bec1abb4d0ff1deaac4d0d370d4f170ce7586c35c1160bc23</vt:lpwstr>
  </property>
</Properties>
</file>