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67BA8C91" w14:textId="77777777" w:rsidTr="001D477F">
        <w:tc>
          <w:tcPr>
            <w:tcW w:w="3198" w:type="pct"/>
            <w:gridSpan w:val="3"/>
            <w:shd w:val="clear" w:color="auto" w:fill="983620" w:themeFill="accent2"/>
          </w:tcPr>
          <w:p w14:paraId="2EA1A8D7" w14:textId="77777777" w:rsidR="0026113B" w:rsidRPr="00821720" w:rsidRDefault="00DA2A6A" w:rsidP="00F277E6">
            <w:pPr>
              <w:pStyle w:val="NoSpacing"/>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0AD71AD9" w14:textId="77777777" w:rsidR="0026113B" w:rsidRPr="00821720" w:rsidRDefault="0026113B" w:rsidP="00F277E6">
            <w:pPr>
              <w:pStyle w:val="NoSpacing"/>
              <w:rPr>
                <w:rFonts w:ascii="Century Gothic" w:hAnsi="Century Gothic"/>
              </w:rPr>
            </w:pPr>
          </w:p>
        </w:tc>
        <w:tc>
          <w:tcPr>
            <w:tcW w:w="1695" w:type="pct"/>
            <w:gridSpan w:val="2"/>
            <w:shd w:val="clear" w:color="auto" w:fill="7F7F7F" w:themeFill="text1" w:themeFillTint="80"/>
          </w:tcPr>
          <w:p w14:paraId="792DA908" w14:textId="77777777" w:rsidR="0026113B" w:rsidRPr="00821720" w:rsidRDefault="0026113B" w:rsidP="00F277E6">
            <w:pPr>
              <w:pStyle w:val="NoSpacing"/>
              <w:rPr>
                <w:rFonts w:ascii="Century Gothic" w:hAnsi="Century Gothic"/>
              </w:rPr>
            </w:pPr>
          </w:p>
        </w:tc>
      </w:tr>
      <w:tr w:rsidR="0026113B" w:rsidRPr="00235E79" w14:paraId="03A57E2C" w14:textId="77777777" w:rsidTr="00821720">
        <w:trPr>
          <w:trHeight w:val="2635"/>
        </w:trPr>
        <w:tc>
          <w:tcPr>
            <w:tcW w:w="3198" w:type="pct"/>
            <w:gridSpan w:val="3"/>
            <w:vAlign w:val="bottom"/>
          </w:tcPr>
          <w:p w14:paraId="7AAF8FD5" w14:textId="2583EF66" w:rsidR="0026113B" w:rsidRPr="00613747" w:rsidRDefault="001E6DB9" w:rsidP="006E5B6B">
            <w:pPr>
              <w:pStyle w:val="Title"/>
              <w:rPr>
                <w:rFonts w:ascii="Century Gothic" w:hAnsi="Century Gothic"/>
                <w:szCs w:val="72"/>
                <w:lang w:val="el-GR"/>
              </w:rPr>
            </w:pPr>
            <w:sdt>
              <w:sdtPr>
                <w:rPr>
                  <w:rFonts w:ascii="Century Gothic" w:hAnsi="Century Gothic" w:cs="Calibri"/>
                  <w:b/>
                  <w:color w:val="000000" w:themeColor="text1"/>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613747">
                  <w:rPr>
                    <w:rFonts w:ascii="Century Gothic" w:hAnsi="Century Gothic" w:cs="Calibri"/>
                    <w:b/>
                    <w:color w:val="000000" w:themeColor="text1"/>
                    <w:sz w:val="28"/>
                    <w:szCs w:val="28"/>
                    <w:lang w:val="el-GR"/>
                  </w:rPr>
                  <w:t>ΤΙΤΛΟΣ: «</w:t>
                </w:r>
                <w:r w:rsidR="00613747" w:rsidRPr="00613747">
                  <w:rPr>
                    <w:rFonts w:ascii="Century Gothic" w:hAnsi="Century Gothic" w:cs="Calibri"/>
                    <w:b/>
                    <w:color w:val="000000" w:themeColor="text1"/>
                    <w:sz w:val="28"/>
                    <w:szCs w:val="28"/>
                    <w:lang w:val="el-GR"/>
                  </w:rPr>
                  <w:t xml:space="preserve">Βιωματικές δραστηριότητες για </w:t>
                </w:r>
                <w:r w:rsidR="00613747">
                  <w:rPr>
                    <w:rFonts w:ascii="Century Gothic" w:hAnsi="Century Gothic" w:cs="Calibri"/>
                    <w:b/>
                    <w:color w:val="000000" w:themeColor="text1"/>
                    <w:sz w:val="28"/>
                    <w:szCs w:val="28"/>
                    <w:lang w:val="el-GR"/>
                  </w:rPr>
                  <w:t xml:space="preserve">τη </w:t>
                </w:r>
                <w:r w:rsidR="00613747" w:rsidRPr="00613747">
                  <w:rPr>
                    <w:rFonts w:ascii="Century Gothic" w:hAnsi="Century Gothic" w:cs="Calibri"/>
                    <w:b/>
                    <w:color w:val="000000" w:themeColor="text1"/>
                    <w:sz w:val="28"/>
                    <w:szCs w:val="28"/>
                    <w:lang w:val="el-GR"/>
                  </w:rPr>
                  <w:t>σχολικ</w:t>
                </w:r>
                <w:r w:rsidR="00613747">
                  <w:rPr>
                    <w:rFonts w:ascii="Century Gothic" w:hAnsi="Century Gothic" w:cs="Calibri"/>
                    <w:b/>
                    <w:color w:val="000000" w:themeColor="text1"/>
                    <w:sz w:val="28"/>
                    <w:szCs w:val="28"/>
                    <w:lang w:val="el-GR"/>
                  </w:rPr>
                  <w:t>ή κοινότητα, υπαίθρια εκπαίδευση στη σχολική αυλή</w:t>
                </w:r>
                <w:r w:rsidR="006E5B6B" w:rsidRPr="00613747">
                  <w:rPr>
                    <w:rFonts w:ascii="Century Gothic" w:hAnsi="Century Gothic" w:cs="Calibri"/>
                    <w:b/>
                    <w:color w:val="000000" w:themeColor="text1"/>
                    <w:sz w:val="28"/>
                    <w:szCs w:val="28"/>
                    <w:lang w:val="el-GR"/>
                  </w:rPr>
                  <w:t>»</w:t>
                </w:r>
                <w:r w:rsidR="00190BCA" w:rsidRPr="00613747">
                  <w:rPr>
                    <w:rFonts w:ascii="Century Gothic" w:hAnsi="Century Gothic" w:cs="Calibri"/>
                    <w:b/>
                    <w:color w:val="000000" w:themeColor="text1"/>
                    <w:sz w:val="28"/>
                    <w:szCs w:val="28"/>
                    <w:lang w:val="el-GR"/>
                  </w:rPr>
                  <w:br/>
                </w:r>
                <w:r w:rsidR="00190BCA" w:rsidRPr="00613747">
                  <w:rPr>
                    <w:rFonts w:ascii="Century Gothic" w:hAnsi="Century Gothic" w:cs="Calibri"/>
                    <w:b/>
                    <w:color w:val="000000" w:themeColor="text1"/>
                    <w:sz w:val="28"/>
                    <w:szCs w:val="28"/>
                    <w:lang w:val="el-GR"/>
                  </w:rPr>
                  <w:br/>
                </w:r>
                <w:r w:rsidR="006E5B6B" w:rsidRPr="00613747">
                  <w:rPr>
                    <w:rFonts w:ascii="Century Gothic" w:hAnsi="Century Gothic" w:cs="Calibri"/>
                    <w:b/>
                    <w:color w:val="000000" w:themeColor="text1"/>
                    <w:sz w:val="28"/>
                    <w:szCs w:val="28"/>
                    <w:lang w:val="el-GR"/>
                  </w:rPr>
                  <w:br/>
                  <w:t xml:space="preserve">ΦΟΡΕΑΣ: </w:t>
                </w:r>
                <w:r w:rsidR="00EF4525" w:rsidRPr="00613747">
                  <w:rPr>
                    <w:rFonts w:ascii="Century Gothic" w:hAnsi="Century Gothic" w:cs="Calibri"/>
                    <w:b/>
                    <w:color w:val="000000" w:themeColor="text1"/>
                    <w:sz w:val="28"/>
                    <w:szCs w:val="28"/>
                    <w:lang w:val="el-GR"/>
                  </w:rPr>
                  <w:t>Greek and Green</w:t>
                </w:r>
              </w:sdtContent>
            </w:sdt>
          </w:p>
        </w:tc>
        <w:tc>
          <w:tcPr>
            <w:tcW w:w="107" w:type="pct"/>
            <w:vAlign w:val="bottom"/>
          </w:tcPr>
          <w:p w14:paraId="3C2DD391" w14:textId="77777777" w:rsidR="0026113B" w:rsidRPr="00613747" w:rsidRDefault="0026113B" w:rsidP="00F277E6">
            <w:pPr>
              <w:rPr>
                <w:rFonts w:ascii="Century Gothic" w:hAnsi="Century Gothic"/>
                <w:lang w:val="el-GR"/>
              </w:rPr>
            </w:pPr>
          </w:p>
        </w:tc>
        <w:tc>
          <w:tcPr>
            <w:tcW w:w="1695" w:type="pct"/>
            <w:gridSpan w:val="2"/>
            <w:vAlign w:val="bottom"/>
          </w:tcPr>
          <w:p w14:paraId="1AE882F0" w14:textId="4651937C" w:rsidR="001D477F" w:rsidRPr="00613747" w:rsidRDefault="00A4318E" w:rsidP="001D477F">
            <w:pPr>
              <w:pStyle w:val="CourseDetails"/>
              <w:rPr>
                <w:rFonts w:ascii="Century Gothic" w:hAnsi="Century Gothic"/>
                <w:color w:val="DD745D" w:themeColor="accent2" w:themeTint="99"/>
                <w:lang w:val="el-GR"/>
              </w:rPr>
            </w:pPr>
            <w:r w:rsidRPr="00235E79">
              <w:rPr>
                <w:rFonts w:ascii="Century Gothic" w:hAnsi="Century Gothic"/>
                <w:b/>
                <w:color w:val="auto"/>
                <w:lang w:val="el-GR"/>
              </w:rPr>
              <w:t>Θεματική:</w:t>
            </w:r>
            <w:r w:rsidR="001D477F" w:rsidRPr="00235E79">
              <w:rPr>
                <w:rFonts w:ascii="Century Gothic" w:hAnsi="Century Gothic"/>
                <w:color w:val="auto"/>
                <w:lang w:val="el-GR"/>
              </w:rPr>
              <w:t xml:space="preserve"> </w:t>
            </w:r>
            <w:r w:rsidR="00821720" w:rsidRPr="00235E79">
              <w:rPr>
                <w:rFonts w:ascii="Century Gothic" w:hAnsi="Century Gothic"/>
                <w:color w:val="auto"/>
                <w:lang w:val="el-GR"/>
              </w:rPr>
              <w:t>(</w:t>
            </w:r>
            <w:r w:rsidR="00613747" w:rsidRPr="00613747">
              <w:rPr>
                <w:rFonts w:ascii="Century Gothic" w:hAnsi="Century Gothic"/>
                <w:color w:val="000000" w:themeColor="text1"/>
                <w:lang w:val="el-GR"/>
              </w:rPr>
              <w:t>Φροντίζω το περιβάλλον</w:t>
            </w:r>
            <w:r w:rsidR="001D477F" w:rsidRPr="00613747">
              <w:rPr>
                <w:rFonts w:ascii="Century Gothic" w:hAnsi="Century Gothic"/>
                <w:color w:val="000000" w:themeColor="text1"/>
                <w:lang w:val="el-GR"/>
              </w:rPr>
              <w:t>/</w:t>
            </w:r>
            <w:r w:rsidR="00613747" w:rsidRPr="00613747">
              <w:rPr>
                <w:rFonts w:ascii="Century Gothic" w:hAnsi="Century Gothic"/>
                <w:color w:val="000000" w:themeColor="text1"/>
                <w:lang w:val="el-GR"/>
              </w:rPr>
              <w:t xml:space="preserve"> Γνωρίζω τον πολιτισμό / Εξοικειώνομαι με τις νέες τεχνολογίες</w:t>
            </w:r>
            <w:r w:rsidR="00821720" w:rsidRPr="00613747">
              <w:rPr>
                <w:rFonts w:ascii="Century Gothic" w:hAnsi="Century Gothic"/>
                <w:color w:val="000000" w:themeColor="text1"/>
                <w:lang w:val="el-GR"/>
              </w:rPr>
              <w:t>)</w:t>
            </w:r>
          </w:p>
          <w:p w14:paraId="64F3EEB4" w14:textId="0514B162" w:rsidR="001D477F" w:rsidRPr="00613747" w:rsidRDefault="00821720" w:rsidP="001D477F">
            <w:pPr>
              <w:pStyle w:val="CourseDetails"/>
              <w:rPr>
                <w:rFonts w:ascii="Century Gothic" w:hAnsi="Century Gothic"/>
                <w:color w:val="auto"/>
                <w:sz w:val="16"/>
                <w:szCs w:val="32"/>
                <w:lang w:val="el-GR"/>
              </w:rPr>
            </w:pPr>
            <w:proofErr w:type="spellStart"/>
            <w:r w:rsidRPr="00235E79">
              <w:rPr>
                <w:rFonts w:ascii="Century Gothic" w:hAnsi="Century Gothic"/>
                <w:b/>
                <w:sz w:val="20"/>
                <w:szCs w:val="20"/>
                <w:lang w:val="el-GR"/>
              </w:rPr>
              <w:t>Υποενότητα</w:t>
            </w:r>
            <w:proofErr w:type="spellEnd"/>
            <w:r w:rsidRPr="00235E79">
              <w:rPr>
                <w:rFonts w:ascii="Century Gothic" w:hAnsi="Century Gothic"/>
                <w:b/>
                <w:sz w:val="20"/>
                <w:szCs w:val="20"/>
                <w:lang w:val="el-GR"/>
              </w:rPr>
              <w:t xml:space="preserve">: </w:t>
            </w:r>
            <w:r w:rsidRPr="00235E79">
              <w:rPr>
                <w:rFonts w:ascii="Century Gothic" w:hAnsi="Century Gothic"/>
                <w:sz w:val="16"/>
                <w:szCs w:val="32"/>
                <w:lang w:val="el-GR"/>
              </w:rPr>
              <w:t xml:space="preserve"> </w:t>
            </w:r>
            <w:r w:rsidR="00613747" w:rsidRPr="00613747">
              <w:rPr>
                <w:rFonts w:ascii="Century Gothic" w:hAnsi="Century Gothic"/>
                <w:color w:val="000000" w:themeColor="text1"/>
                <w:sz w:val="16"/>
                <w:szCs w:val="32"/>
                <w:lang w:val="el-GR"/>
              </w:rPr>
              <w:t xml:space="preserve">οικολογία, παγκόσμια και τοπική κληρονομιά/ φυσικές καταστροφές, πολιτική προστασία/ παγκόσμια και τοπική πολιτιστική κληρονομιά. </w:t>
            </w:r>
          </w:p>
          <w:p w14:paraId="7D194E19" w14:textId="77777777" w:rsidR="00190BCA" w:rsidRPr="00235E79" w:rsidRDefault="00190BCA" w:rsidP="00190BCA">
            <w:pPr>
              <w:pStyle w:val="CourseDetails"/>
              <w:rPr>
                <w:rFonts w:ascii="Century Gothic" w:hAnsi="Century Gothic" w:cs="Calibri"/>
                <w:color w:val="auto"/>
                <w:sz w:val="20"/>
                <w:szCs w:val="20"/>
                <w:lang w:val="el-GR"/>
              </w:rPr>
            </w:pPr>
          </w:p>
          <w:p w14:paraId="4ED605B3" w14:textId="47F65639" w:rsidR="007919AA" w:rsidRPr="00235E79" w:rsidRDefault="003421A5" w:rsidP="00190BCA">
            <w:pPr>
              <w:pStyle w:val="CourseDetails"/>
              <w:rPr>
                <w:rFonts w:ascii="Century Gothic" w:hAnsi="Century Gothic"/>
                <w:color w:val="auto"/>
                <w:lang w:val="el-GR"/>
              </w:rPr>
            </w:pPr>
            <w:r w:rsidRPr="00235E79">
              <w:rPr>
                <w:rFonts w:ascii="Century Gothic" w:hAnsi="Century Gothic"/>
                <w:b/>
                <w:color w:val="auto"/>
                <w:lang w:val="el-GR"/>
              </w:rPr>
              <w:t xml:space="preserve">Απευθύνεται </w:t>
            </w:r>
            <w:r w:rsidRPr="00235E79">
              <w:rPr>
                <w:rFonts w:ascii="Century Gothic" w:hAnsi="Century Gothic"/>
                <w:color w:val="000000" w:themeColor="text1"/>
                <w:lang w:val="el-GR"/>
              </w:rPr>
              <w:t>σε</w:t>
            </w:r>
            <w:r w:rsidR="001D477F" w:rsidRPr="00235E79">
              <w:rPr>
                <w:rFonts w:ascii="Century Gothic" w:hAnsi="Century Gothic"/>
                <w:color w:val="000000" w:themeColor="text1"/>
                <w:lang w:val="el-GR"/>
              </w:rPr>
              <w:t xml:space="preserve">: </w:t>
            </w:r>
            <w:r w:rsidR="00235E79">
              <w:rPr>
                <w:rFonts w:ascii="Century Gothic" w:hAnsi="Century Gothic"/>
                <w:color w:val="000000" w:themeColor="text1"/>
                <w:lang w:val="el-GR"/>
              </w:rPr>
              <w:t>εκπαιδευτικούς</w:t>
            </w:r>
            <w:r w:rsidR="001D477F" w:rsidRPr="00235E79">
              <w:rPr>
                <w:rFonts w:ascii="Century Gothic" w:hAnsi="Century Gothic"/>
                <w:color w:val="000000" w:themeColor="text1"/>
                <w:lang w:val="el-GR"/>
              </w:rPr>
              <w:t xml:space="preserve"> </w:t>
            </w:r>
            <w:r w:rsidR="00235E79" w:rsidRPr="00235E79">
              <w:rPr>
                <w:rFonts w:ascii="Century Gothic" w:hAnsi="Century Gothic"/>
                <w:color w:val="000000" w:themeColor="text1"/>
                <w:lang w:val="el-GR"/>
              </w:rPr>
              <w:t>νηπιαγωγείων και πρώτων τάξεων δημοτικών σχολείων (εξωτερικού και Ελλάδας)</w:t>
            </w:r>
          </w:p>
        </w:tc>
      </w:tr>
      <w:tr w:rsidR="0026113B" w:rsidRPr="00235E79" w14:paraId="455AA049" w14:textId="77777777" w:rsidTr="001D477F">
        <w:trPr>
          <w:trHeight w:val="100"/>
        </w:trPr>
        <w:tc>
          <w:tcPr>
            <w:tcW w:w="3198" w:type="pct"/>
            <w:gridSpan w:val="3"/>
            <w:shd w:val="clear" w:color="auto" w:fill="983620" w:themeFill="accent2"/>
          </w:tcPr>
          <w:p w14:paraId="7EE5FECD" w14:textId="77777777" w:rsidR="0026113B" w:rsidRPr="00821720" w:rsidRDefault="0026113B" w:rsidP="00F277E6">
            <w:pPr>
              <w:pStyle w:val="NoSpacing"/>
              <w:rPr>
                <w:rFonts w:ascii="Century Gothic" w:hAnsi="Century Gothic"/>
                <w:lang w:val="el-GR"/>
              </w:rPr>
            </w:pPr>
          </w:p>
        </w:tc>
        <w:tc>
          <w:tcPr>
            <w:tcW w:w="107" w:type="pct"/>
          </w:tcPr>
          <w:p w14:paraId="586CEDBD" w14:textId="77777777" w:rsidR="0026113B" w:rsidRPr="00821720" w:rsidRDefault="0026113B" w:rsidP="00F277E6">
            <w:pPr>
              <w:pStyle w:val="NoSpacing"/>
              <w:rPr>
                <w:rFonts w:ascii="Century Gothic" w:hAnsi="Century Gothic"/>
                <w:lang w:val="el-GR"/>
              </w:rPr>
            </w:pPr>
          </w:p>
        </w:tc>
        <w:tc>
          <w:tcPr>
            <w:tcW w:w="1695" w:type="pct"/>
            <w:gridSpan w:val="2"/>
            <w:shd w:val="clear" w:color="auto" w:fill="7F7F7F" w:themeFill="text1" w:themeFillTint="80"/>
          </w:tcPr>
          <w:p w14:paraId="65E961D2" w14:textId="77777777" w:rsidR="0026113B" w:rsidRPr="00821720" w:rsidRDefault="0026113B" w:rsidP="00F277E6">
            <w:pPr>
              <w:pStyle w:val="NoSpacing"/>
              <w:rPr>
                <w:rFonts w:ascii="Century Gothic" w:hAnsi="Century Gothic"/>
                <w:lang w:val="el-GR"/>
              </w:rPr>
            </w:pPr>
          </w:p>
        </w:tc>
      </w:tr>
      <w:tr w:rsidR="0026113B" w:rsidRPr="00821720" w14:paraId="28E44EBF" w14:textId="77777777" w:rsidTr="001D477F">
        <w:trPr>
          <w:gridBefore w:val="1"/>
          <w:wBefore w:w="63" w:type="pct"/>
          <w:trHeight w:val="2160"/>
        </w:trPr>
        <w:tc>
          <w:tcPr>
            <w:tcW w:w="3056" w:type="pct"/>
          </w:tcPr>
          <w:p w14:paraId="393603BF" w14:textId="58739FA4" w:rsidR="001D477F" w:rsidRPr="00235E79" w:rsidRDefault="001D477F" w:rsidP="00260197">
            <w:pPr>
              <w:pStyle w:val="Heading1"/>
              <w:spacing w:before="0" w:after="0"/>
              <w:jc w:val="both"/>
              <w:rPr>
                <w:rFonts w:ascii="Century Gothic" w:hAnsi="Century Gothic" w:cs="Calibri"/>
                <w:b/>
                <w:sz w:val="22"/>
                <w:szCs w:val="22"/>
                <w:lang w:val="el-GR"/>
              </w:rPr>
            </w:pPr>
            <w:bookmarkStart w:id="1" w:name="_Toc261004492"/>
            <w:bookmarkStart w:id="2" w:name="_Toc261004494"/>
            <w:r w:rsidRPr="00821720">
              <w:rPr>
                <w:rFonts w:ascii="Century Gothic" w:hAnsi="Century Gothic" w:cs="Calibri"/>
                <w:b/>
                <w:sz w:val="22"/>
                <w:szCs w:val="22"/>
                <w:lang w:val="el-GR"/>
              </w:rPr>
              <w:lastRenderedPageBreak/>
              <w:t xml:space="preserve">Επικοινωνία: </w:t>
            </w:r>
            <w:hyperlink r:id="rId7" w:history="1">
              <w:r w:rsidR="00235E79" w:rsidRPr="00235E79">
                <w:rPr>
                  <w:rStyle w:val="Hyperlink"/>
                  <w:rFonts w:ascii="Century Gothic" w:hAnsi="Century Gothic" w:cs="Calibri"/>
                  <w:b/>
                  <w:color w:val="000000" w:themeColor="text1"/>
                  <w:sz w:val="22"/>
                  <w:szCs w:val="22"/>
                </w:rPr>
                <w:t>info</w:t>
              </w:r>
              <w:r w:rsidR="00235E79" w:rsidRPr="00235E79">
                <w:rPr>
                  <w:rStyle w:val="Hyperlink"/>
                  <w:rFonts w:ascii="Century Gothic" w:hAnsi="Century Gothic" w:cs="Calibri"/>
                  <w:b/>
                  <w:color w:val="000000" w:themeColor="text1"/>
                  <w:sz w:val="22"/>
                  <w:szCs w:val="22"/>
                  <w:lang w:val="el-GR"/>
                </w:rPr>
                <w:t>@</w:t>
              </w:r>
              <w:proofErr w:type="spellStart"/>
              <w:r w:rsidR="00235E79" w:rsidRPr="00235E79">
                <w:rPr>
                  <w:rStyle w:val="Hyperlink"/>
                  <w:rFonts w:ascii="Century Gothic" w:hAnsi="Century Gothic" w:cs="Calibri"/>
                  <w:b/>
                  <w:color w:val="000000" w:themeColor="text1"/>
                  <w:sz w:val="22"/>
                  <w:szCs w:val="22"/>
                </w:rPr>
                <w:t>greekandgreen</w:t>
              </w:r>
              <w:proofErr w:type="spellEnd"/>
              <w:r w:rsidR="00235E79" w:rsidRPr="00235E79">
                <w:rPr>
                  <w:rStyle w:val="Hyperlink"/>
                  <w:rFonts w:ascii="Century Gothic" w:hAnsi="Century Gothic" w:cs="Calibri"/>
                  <w:b/>
                  <w:color w:val="000000" w:themeColor="text1"/>
                  <w:sz w:val="22"/>
                  <w:szCs w:val="22"/>
                  <w:lang w:val="el-GR"/>
                </w:rPr>
                <w:t>.</w:t>
              </w:r>
              <w:r w:rsidR="00235E79" w:rsidRPr="00235E79">
                <w:rPr>
                  <w:rStyle w:val="Hyperlink"/>
                  <w:rFonts w:ascii="Century Gothic" w:hAnsi="Century Gothic" w:cs="Calibri"/>
                  <w:b/>
                  <w:color w:val="000000" w:themeColor="text1"/>
                  <w:sz w:val="22"/>
                  <w:szCs w:val="22"/>
                </w:rPr>
                <w:t>gr</w:t>
              </w:r>
            </w:hyperlink>
            <w:r w:rsidR="00235E79" w:rsidRPr="00235E79">
              <w:rPr>
                <w:rFonts w:ascii="Century Gothic" w:hAnsi="Century Gothic" w:cs="Calibri"/>
                <w:b/>
                <w:color w:val="000000" w:themeColor="text1"/>
                <w:sz w:val="22"/>
                <w:szCs w:val="22"/>
                <w:lang w:val="el-GR"/>
              </w:rPr>
              <w:t xml:space="preserve">    |   6946530803      |</w:t>
            </w:r>
          </w:p>
          <w:p w14:paraId="683A8DAD" w14:textId="77777777" w:rsidR="001D477F" w:rsidRPr="00821720" w:rsidRDefault="001D477F" w:rsidP="001D477F">
            <w:pPr>
              <w:rPr>
                <w:rFonts w:ascii="Century Gothic" w:hAnsi="Century Gothic"/>
                <w:lang w:val="el-GR"/>
              </w:rPr>
            </w:pPr>
          </w:p>
          <w:p w14:paraId="295A1724" w14:textId="08B0240C" w:rsidR="001D477F" w:rsidRDefault="001D477F" w:rsidP="00260197">
            <w:pPr>
              <w:pStyle w:val="Heading1"/>
              <w:spacing w:before="0" w:after="0"/>
              <w:jc w:val="both"/>
              <w:rPr>
                <w:rFonts w:ascii="Century Gothic" w:hAnsi="Century Gothic" w:cs="Calibri"/>
                <w:b/>
                <w:sz w:val="22"/>
                <w:szCs w:val="22"/>
                <w:lang w:val="el-GR"/>
              </w:rPr>
            </w:pPr>
          </w:p>
          <w:p w14:paraId="68638C1E" w14:textId="4E0337BC" w:rsidR="00613747" w:rsidRDefault="00613747" w:rsidP="00613747">
            <w:pPr>
              <w:rPr>
                <w:lang w:eastAsia="en-US"/>
              </w:rPr>
            </w:pPr>
          </w:p>
          <w:p w14:paraId="6C7E0328" w14:textId="77777777" w:rsidR="00613747" w:rsidRPr="00613747" w:rsidRDefault="00613747" w:rsidP="00613747">
            <w:pPr>
              <w:rPr>
                <w:lang w:val="el-GR" w:eastAsia="en-US"/>
              </w:rPr>
            </w:pPr>
          </w:p>
          <w:p w14:paraId="00368C22" w14:textId="59D6EE5A" w:rsidR="001D477F" w:rsidRPr="00235E79" w:rsidRDefault="001D477F" w:rsidP="00260197">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8" w:history="1">
              <w:r w:rsidR="00235E79" w:rsidRPr="00235E79">
                <w:rPr>
                  <w:rStyle w:val="Hyperlink"/>
                  <w:rFonts w:ascii="Century Gothic" w:hAnsi="Century Gothic" w:cs="Calibri"/>
                  <w:b/>
                  <w:sz w:val="22"/>
                  <w:szCs w:val="22"/>
                </w:rPr>
                <w:t>www</w:t>
              </w:r>
              <w:r w:rsidR="00235E79" w:rsidRPr="00235E79">
                <w:rPr>
                  <w:rStyle w:val="Hyperlink"/>
                  <w:rFonts w:ascii="Century Gothic" w:hAnsi="Century Gothic" w:cs="Calibri"/>
                  <w:b/>
                  <w:sz w:val="22"/>
                  <w:szCs w:val="22"/>
                  <w:lang w:val="el-GR"/>
                </w:rPr>
                <w:t>.</w:t>
              </w:r>
              <w:proofErr w:type="spellStart"/>
              <w:r w:rsidR="00235E79" w:rsidRPr="00235E79">
                <w:rPr>
                  <w:rStyle w:val="Hyperlink"/>
                  <w:rFonts w:ascii="Century Gothic" w:hAnsi="Century Gothic" w:cs="Calibri"/>
                  <w:b/>
                  <w:sz w:val="22"/>
                  <w:szCs w:val="22"/>
                </w:rPr>
                <w:t>greekandgreen</w:t>
              </w:r>
              <w:proofErr w:type="spellEnd"/>
              <w:r w:rsidR="00235E79" w:rsidRPr="00235E79">
                <w:rPr>
                  <w:rStyle w:val="Hyperlink"/>
                  <w:rFonts w:ascii="Century Gothic" w:hAnsi="Century Gothic" w:cs="Calibri"/>
                  <w:b/>
                  <w:sz w:val="22"/>
                  <w:szCs w:val="22"/>
                  <w:lang w:val="el-GR"/>
                </w:rPr>
                <w:t>.</w:t>
              </w:r>
              <w:r w:rsidR="00235E79" w:rsidRPr="00235E79">
                <w:rPr>
                  <w:rStyle w:val="Hyperlink"/>
                  <w:rFonts w:ascii="Century Gothic" w:hAnsi="Century Gothic" w:cs="Calibri"/>
                  <w:b/>
                  <w:sz w:val="22"/>
                  <w:szCs w:val="22"/>
                </w:rPr>
                <w:t>gr</w:t>
              </w:r>
            </w:hyperlink>
          </w:p>
          <w:p w14:paraId="47AAB5D7" w14:textId="77777777" w:rsidR="001D477F" w:rsidRPr="00821720" w:rsidRDefault="001D477F" w:rsidP="001D477F">
            <w:pPr>
              <w:rPr>
                <w:rFonts w:ascii="Century Gothic" w:hAnsi="Century Gothic"/>
                <w:lang w:val="el-GR"/>
              </w:rPr>
            </w:pPr>
          </w:p>
          <w:p w14:paraId="7B0EC980" w14:textId="77777777" w:rsidR="00260197" w:rsidRPr="00821720" w:rsidRDefault="00DA2A6A" w:rsidP="00260197">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246C63D1" w14:textId="72888C1E" w:rsidR="00235E79" w:rsidRPr="00613747" w:rsidRDefault="00235E79" w:rsidP="00235E79">
            <w:pPr>
              <w:rPr>
                <w:rStyle w:val="jsgrdq"/>
                <w:color w:val="4D4D4D"/>
              </w:rPr>
            </w:pPr>
            <w:r w:rsidRPr="00613747">
              <w:rPr>
                <w:rStyle w:val="jsgrdq"/>
                <w:color w:val="4D4D4D"/>
              </w:rPr>
              <w:t>Το εκπαιδευτικό υλικό οργανώνεται σε σύντομες ιστορίες (stories) που</w:t>
            </w:r>
            <w:r w:rsidRPr="00613747">
              <w:rPr>
                <w:rStyle w:val="jsgrdq"/>
                <w:color w:val="4D4D4D"/>
              </w:rPr>
              <w:t xml:space="preserve"> </w:t>
            </w:r>
            <w:r w:rsidRPr="00613747">
              <w:rPr>
                <w:rStyle w:val="jsgrdq"/>
                <w:color w:val="4D4D4D"/>
              </w:rPr>
              <w:t>εκτυλίσσονται σε τρεις (3) χώρους.</w:t>
            </w:r>
            <w:r w:rsidRPr="00613747">
              <w:rPr>
                <w:rStyle w:val="jsgrdq"/>
                <w:color w:val="4D4D4D"/>
              </w:rPr>
              <w:t xml:space="preserve"> 1) Σχολική αυλή 2) Φυσικό περιβάλλον και 3) Χώροι πολιτισμού. </w:t>
            </w:r>
            <w:r w:rsidRPr="00613747">
              <w:rPr>
                <w:rStyle w:val="jsgrdq"/>
                <w:color w:val="4D4D4D"/>
              </w:rPr>
              <w:t>Κάθε χώρος αντιπροσωπεύει και μια ξεχωριστή θεματική και εξυπηρετεί διαφορετικούς παιδαγωγικούς στόχους. Ο συνδετικός κρίκος είναι η εξοικείωση με το καθημερινό λεξιλόγιο, την ελληνική κουλτούρα και τον πολιτισμό, και η καλλιέργεια της περιβαλλοντικής συνείδησης.</w:t>
            </w:r>
          </w:p>
          <w:p w14:paraId="2BB14162" w14:textId="126DBB5F" w:rsidR="00235E79" w:rsidRPr="00613747" w:rsidRDefault="00235E79" w:rsidP="00235E79">
            <w:pPr>
              <w:rPr>
                <w:rStyle w:val="jsgrdq"/>
                <w:color w:val="4D4D4D"/>
              </w:rPr>
            </w:pPr>
            <w:r w:rsidRPr="00613747">
              <w:rPr>
                <w:rStyle w:val="jsgrdq"/>
                <w:color w:val="4D4D4D"/>
              </w:rPr>
              <w:t>Περιγράφουμε τη μορφή του υλικού σε δύο μορφές: α) ασύγχρονο και β) σύγχρονο είτε με δραστηριότητες που κατευθύνουμε στον εκπαιδευτικό ή και με επίσκεψή μας ως Greek and Green στο ενδιαφερόμενο σχολείο.  Σχετικά με το ασύγχρονο υλικό, κ</w:t>
            </w:r>
            <w:r w:rsidRPr="00613747">
              <w:rPr>
                <w:rStyle w:val="jsgrdq"/>
                <w:color w:val="4D4D4D"/>
              </w:rPr>
              <w:t xml:space="preserve">άθε ιστορία αποτελείται από 5 επεισόδια που ακολουθούν μια βασική δραματική πλοκή με αρχή / μέση / τέλος και πρωταγωνιστές. Οι μαθητές καλούνται να ταυτιστούν με τους ήρωες, την Αριστέα, τον Κωνσταντίνο, τον Γιώργο και τον σκύλο </w:t>
            </w:r>
            <w:proofErr w:type="spellStart"/>
            <w:r w:rsidRPr="00613747">
              <w:rPr>
                <w:rStyle w:val="jsgrdq"/>
                <w:color w:val="4D4D4D"/>
              </w:rPr>
              <w:t>Νέσσων</w:t>
            </w:r>
            <w:proofErr w:type="spellEnd"/>
            <w:r w:rsidRPr="00613747">
              <w:rPr>
                <w:rStyle w:val="jsgrdq"/>
                <w:color w:val="4D4D4D"/>
              </w:rPr>
              <w:t xml:space="preserve">, να ταξιδέψουν μαζί τους σε διάφορους χώρους και να βιώσουν συναισθήματα. </w:t>
            </w:r>
            <w:proofErr w:type="spellStart"/>
            <w:r w:rsidRPr="00613747">
              <w:rPr>
                <w:rStyle w:val="jsgrdq"/>
                <w:color w:val="4D4D4D"/>
              </w:rPr>
              <w:t>Κάθε</w:t>
            </w:r>
            <w:proofErr w:type="spellEnd"/>
            <w:r w:rsidRPr="00613747">
              <w:rPr>
                <w:rStyle w:val="jsgrdq"/>
                <w:color w:val="4D4D4D"/>
              </w:rPr>
              <w:t xml:space="preserve"> </w:t>
            </w:r>
            <w:proofErr w:type="spellStart"/>
            <w:r w:rsidRPr="00613747">
              <w:rPr>
                <w:rStyle w:val="jsgrdq"/>
                <w:color w:val="4D4D4D"/>
              </w:rPr>
              <w:t>ιστορί</w:t>
            </w:r>
            <w:proofErr w:type="spellEnd"/>
            <w:r w:rsidRPr="00613747">
              <w:rPr>
                <w:rStyle w:val="jsgrdq"/>
                <w:color w:val="4D4D4D"/>
              </w:rPr>
              <w:t xml:space="preserve">α </w:t>
            </w:r>
            <w:proofErr w:type="spellStart"/>
            <w:r w:rsidRPr="00613747">
              <w:rPr>
                <w:rStyle w:val="jsgrdq"/>
                <w:color w:val="4D4D4D"/>
              </w:rPr>
              <w:t>συνοδεύετ</w:t>
            </w:r>
            <w:proofErr w:type="spellEnd"/>
            <w:r w:rsidRPr="00613747">
              <w:rPr>
                <w:rStyle w:val="jsgrdq"/>
                <w:color w:val="4D4D4D"/>
              </w:rPr>
              <w:t>αι από ειδικά προσαρμοσμένο εκπαιδευτικό υλικό που περιλαμβάνει σχέδιο μαθήματος, γλωσσικές ασκήσεις και λεξιλόγιο.</w:t>
            </w:r>
            <w:r w:rsidRPr="00613747">
              <w:rPr>
                <w:rStyle w:val="jsgrdq"/>
                <w:color w:val="4D4D4D"/>
              </w:rPr>
              <w:t xml:space="preserve"> Σχετικά με τη σύγχρονη μορφή, σ</w:t>
            </w:r>
            <w:r w:rsidRPr="00613747">
              <w:rPr>
                <w:rStyle w:val="jsgrdq"/>
                <w:color w:val="4D4D4D"/>
              </w:rPr>
              <w:t xml:space="preserve">ε κάθε σχέδιο μαθήματος οι εκπαιδευτικοί θα βρουν μια πρόταση για το πώς να αξιοποιήσουν τα βίντεο και το </w:t>
            </w:r>
            <w:proofErr w:type="spellStart"/>
            <w:r w:rsidRPr="00613747">
              <w:rPr>
                <w:rStyle w:val="jsgrdq"/>
                <w:color w:val="4D4D4D"/>
              </w:rPr>
              <w:t>συνοδεύον</w:t>
            </w:r>
            <w:proofErr w:type="spellEnd"/>
            <w:r w:rsidRPr="00613747">
              <w:rPr>
                <w:rStyle w:val="jsgrdq"/>
                <w:color w:val="4D4D4D"/>
              </w:rPr>
              <w:t xml:space="preserve"> εκπαιδευτικό υλικό, προκειμένου να έχουν τα βέλτιστα αποτελέσματα. Στο σχέδιο μαθήματος θα δίνονται κατευθύνσεις για συνοδευτικές δράσεις εντός και εκτός της σχολικής τάξης, όπως παιχνίδι θησαυρού, παιχνίδια ενδυνάμωσης ομάδας, χειροτεχνίες, επισκέψεις σε μουσεία κτλ.</w:t>
            </w:r>
          </w:p>
          <w:p w14:paraId="3E429FD4" w14:textId="77777777" w:rsidR="001D477F" w:rsidRPr="00821720" w:rsidRDefault="001D477F" w:rsidP="001D477F">
            <w:pPr>
              <w:rPr>
                <w:rFonts w:ascii="Century Gothic" w:hAnsi="Century Gothic"/>
                <w:lang w:val="el-GR"/>
              </w:rPr>
            </w:pPr>
          </w:p>
          <w:p w14:paraId="1CFA5BCA" w14:textId="77777777" w:rsidR="001D477F" w:rsidRPr="00235E79" w:rsidRDefault="001D477F" w:rsidP="001D477F">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4BA0162B" w14:textId="77777777" w:rsidR="001D477F" w:rsidRPr="00821720" w:rsidRDefault="001D477F" w:rsidP="001D477F">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p>
          <w:p w14:paraId="577F5BE4" w14:textId="77777777" w:rsidR="001D477F" w:rsidRPr="00821720" w:rsidRDefault="001D477F" w:rsidP="001D477F">
            <w:pPr>
              <w:rPr>
                <w:rFonts w:ascii="Century Gothic" w:hAnsi="Century Gothic"/>
                <w:lang w:val="el-GR"/>
              </w:rPr>
            </w:pPr>
          </w:p>
          <w:p w14:paraId="4BF525B9" w14:textId="6D6D74E3" w:rsidR="001D477F" w:rsidRPr="00613747" w:rsidRDefault="001D477F" w:rsidP="001D477F">
            <w:pPr>
              <w:pStyle w:val="Heading1"/>
              <w:spacing w:before="0" w:after="0"/>
              <w:jc w:val="both"/>
              <w:rPr>
                <w:rStyle w:val="jsgrdq"/>
                <w:rFonts w:ascii="Times New Roman" w:eastAsia="Times New Roman" w:hAnsi="Times New Roman" w:cs="Times New Roman"/>
                <w:bCs w:val="0"/>
                <w:color w:val="4D4D4D"/>
                <w:sz w:val="24"/>
                <w:szCs w:val="24"/>
                <w:lang w:val="el-GR"/>
              </w:rPr>
            </w:pPr>
            <w:r w:rsidRPr="00821720">
              <w:rPr>
                <w:rFonts w:ascii="Century Gothic" w:hAnsi="Century Gothic" w:cs="Calibri"/>
                <w:b/>
                <w:sz w:val="22"/>
                <w:szCs w:val="22"/>
                <w:lang w:val="el-GR"/>
              </w:rPr>
              <w:t xml:space="preserve">Ψηφιακό: </w:t>
            </w:r>
            <w:r w:rsidR="00613747" w:rsidRPr="00613747">
              <w:rPr>
                <w:rStyle w:val="jsgrdq"/>
                <w:rFonts w:ascii="Times New Roman" w:eastAsia="Times New Roman" w:hAnsi="Times New Roman" w:cs="Times New Roman"/>
                <w:bCs w:val="0"/>
                <w:color w:val="4D4D4D"/>
                <w:sz w:val="24"/>
                <w:szCs w:val="24"/>
              </w:rPr>
              <w:t xml:space="preserve">Ναι, το υλικό που παραχωρούμε είναι ψηφιακό, μέσω της εκπαιδευτικής μας πλατφόρμας </w:t>
            </w:r>
            <w:r w:rsidR="00613747" w:rsidRPr="00613747">
              <w:rPr>
                <w:rStyle w:val="jsgrdq"/>
                <w:rFonts w:ascii="Times New Roman" w:eastAsia="Times New Roman" w:hAnsi="Times New Roman" w:cs="Times New Roman"/>
                <w:bCs w:val="0"/>
                <w:color w:val="4D4D4D"/>
                <w:sz w:val="24"/>
                <w:szCs w:val="24"/>
                <w:lang w:val="el-GR"/>
              </w:rPr>
              <w:t>www.</w:t>
            </w:r>
            <w:proofErr w:type="spellStart"/>
            <w:r w:rsidR="00613747" w:rsidRPr="00613747">
              <w:rPr>
                <w:rStyle w:val="jsgrdq"/>
                <w:rFonts w:ascii="Times New Roman" w:eastAsia="Times New Roman" w:hAnsi="Times New Roman" w:cs="Times New Roman"/>
                <w:bCs w:val="0"/>
                <w:color w:val="4D4D4D"/>
                <w:sz w:val="24"/>
                <w:szCs w:val="24"/>
                <w:lang w:val="el-GR"/>
              </w:rPr>
              <w:t>greekandgreen</w:t>
            </w:r>
            <w:proofErr w:type="spellEnd"/>
            <w:r w:rsidR="00613747" w:rsidRPr="00613747">
              <w:rPr>
                <w:rStyle w:val="jsgrdq"/>
                <w:rFonts w:ascii="Times New Roman" w:eastAsia="Times New Roman" w:hAnsi="Times New Roman" w:cs="Times New Roman"/>
                <w:bCs w:val="0"/>
                <w:color w:val="4D4D4D"/>
                <w:sz w:val="24"/>
                <w:szCs w:val="24"/>
                <w:lang w:val="el-GR"/>
              </w:rPr>
              <w:t>.gr</w:t>
            </w:r>
          </w:p>
          <w:p w14:paraId="16B519A1" w14:textId="77777777" w:rsidR="00190BCA" w:rsidRPr="00821720" w:rsidRDefault="00190BCA" w:rsidP="00DA2A6A">
            <w:pPr>
              <w:pStyle w:val="Heading1"/>
              <w:spacing w:before="0" w:after="0"/>
              <w:jc w:val="both"/>
              <w:rPr>
                <w:rFonts w:ascii="Century Gothic" w:hAnsi="Century Gothic" w:cs="Calibri"/>
                <w:b/>
                <w:sz w:val="22"/>
                <w:szCs w:val="22"/>
                <w:lang w:val="el-GR"/>
              </w:rPr>
            </w:pPr>
          </w:p>
          <w:p w14:paraId="3CA4ECC9" w14:textId="77777777" w:rsidR="007919AA" w:rsidRPr="00821720" w:rsidRDefault="007919AA" w:rsidP="00DA2A6A">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76A60772" w14:textId="614098F0" w:rsidR="00613747" w:rsidRDefault="00613747" w:rsidP="00613747">
            <w:pPr>
              <w:rPr>
                <w:rStyle w:val="jsgrdq"/>
                <w:color w:val="4D4D4D"/>
              </w:rPr>
            </w:pPr>
            <w:r w:rsidRPr="00613747">
              <w:rPr>
                <w:rStyle w:val="jsgrdq"/>
                <w:color w:val="4D4D4D"/>
                <w:lang w:val="el-GR"/>
              </w:rPr>
              <w:t xml:space="preserve">Σε ένα πρώτο επίπεδο, το παραγόμενο υλικό διαρθρώνεται στη βάση μιας </w:t>
            </w:r>
            <w:r w:rsidRPr="00613747">
              <w:rPr>
                <w:rStyle w:val="jsgrdq"/>
                <w:b/>
                <w:bCs/>
                <w:color w:val="4D4D4D"/>
                <w:lang w:val="el-GR"/>
              </w:rPr>
              <w:t>δράσης πιλοτικού χαρακτήρα</w:t>
            </w:r>
            <w:r w:rsidRPr="00613747">
              <w:rPr>
                <w:rStyle w:val="jsgrdq"/>
                <w:color w:val="4D4D4D"/>
                <w:lang w:val="el-GR"/>
              </w:rPr>
              <w:t xml:space="preserve">, η οποία μπορεί να επεκταθεί με την εξασφάλιση των απαραίτητων πόρων. Πρόκειται για ένα </w:t>
            </w:r>
            <w:r w:rsidRPr="00613747">
              <w:rPr>
                <w:rStyle w:val="jsgrdq"/>
                <w:b/>
                <w:bCs/>
                <w:color w:val="4D4D4D"/>
                <w:lang w:val="el-GR"/>
              </w:rPr>
              <w:t>σύνολο σύντομων θεματικών βίντεο</w:t>
            </w:r>
            <w:r w:rsidRPr="00613747">
              <w:rPr>
                <w:rStyle w:val="jsgrdq"/>
                <w:color w:val="4D4D4D"/>
                <w:lang w:val="el-GR"/>
              </w:rPr>
              <w:t xml:space="preserve"> που έχουν ως βασικό στόχο να κινητοποιήσουν εκπαιδευτικούς και μαθητές και να τους προκαλέσουν να πραγματοποιήσουν </w:t>
            </w:r>
            <w:r w:rsidRPr="00613747">
              <w:rPr>
                <w:rStyle w:val="jsgrdq"/>
                <w:b/>
                <w:bCs/>
                <w:color w:val="4D4D4D"/>
                <w:lang w:val="el-GR"/>
              </w:rPr>
              <w:t>δράσεις πολιτισμού και περιβαλλοντικής συνείδησης.</w:t>
            </w:r>
            <w:r w:rsidRPr="00613747">
              <w:rPr>
                <w:rStyle w:val="jsgrdq"/>
                <w:color w:val="4D4D4D"/>
                <w:lang w:val="el-GR"/>
              </w:rPr>
              <w:t xml:space="preserve"> Το πρόγραμμα αφορά αφενός στα παιδιά της εγχώριας εκπαίδευσης </w:t>
            </w:r>
            <w:r w:rsidRPr="00613747">
              <w:rPr>
                <w:rStyle w:val="jsgrdq"/>
                <w:color w:val="4D4D4D"/>
                <w:lang w:val="el-GR"/>
              </w:rPr>
              <w:lastRenderedPageBreak/>
              <w:t>(Πρωτοβάθμιας Εκπαίδευσης) με στόχο τη διεύρυνση θεματολογίας και λεξιλογίου, αλλά και στα παιδιά που μαθαίνουν την ελληνική ως δεύτερη ή ξένη γλώσσα.</w:t>
            </w:r>
          </w:p>
          <w:p w14:paraId="73ABDC94" w14:textId="7A96E1DB" w:rsidR="00613747" w:rsidRPr="00613747" w:rsidRDefault="00613747" w:rsidP="00613747">
            <w:pPr>
              <w:pStyle w:val="04xlpa"/>
              <w:rPr>
                <w:rStyle w:val="jsgrdq"/>
                <w:lang w:val="el-GR"/>
              </w:rPr>
            </w:pPr>
            <w:r w:rsidRPr="00613747">
              <w:rPr>
                <w:rStyle w:val="jsgrdq"/>
                <w:color w:val="4D4D4D"/>
                <w:lang w:val="el-GR"/>
              </w:rPr>
              <w:t xml:space="preserve">Με βάση τα προβλήματα που τίθενται και εξηγούνται </w:t>
            </w:r>
            <w:r w:rsidRPr="00613747">
              <w:rPr>
                <w:rStyle w:val="jsgrdq"/>
                <w:color w:val="4D4D4D"/>
                <w:lang w:val="el-GR"/>
              </w:rPr>
              <w:t>σ</w:t>
            </w:r>
            <w:r w:rsidRPr="00613747">
              <w:rPr>
                <w:rStyle w:val="jsgrdq"/>
                <w:color w:val="4D4D4D"/>
                <w:lang w:val="el-GR"/>
              </w:rPr>
              <w:t>τη</w:t>
            </w:r>
            <w:r w:rsidRPr="00613747">
              <w:rPr>
                <w:rStyle w:val="jsgrdq"/>
                <w:color w:val="4D4D4D"/>
                <w:lang w:val="el-GR"/>
              </w:rPr>
              <w:t>ν</w:t>
            </w:r>
            <w:r w:rsidRPr="00613747">
              <w:rPr>
                <w:rStyle w:val="jsgrdq"/>
                <w:color w:val="4D4D4D"/>
                <w:lang w:val="el-GR"/>
              </w:rPr>
              <w:t xml:space="preserve"> </w:t>
            </w:r>
            <w:r w:rsidRPr="00613747">
              <w:rPr>
                <w:rStyle w:val="jsgrdq"/>
                <w:color w:val="4D4D4D"/>
                <w:lang w:val="el-GR"/>
              </w:rPr>
              <w:t xml:space="preserve">αναλυτική μας </w:t>
            </w:r>
            <w:r w:rsidRPr="00613747">
              <w:rPr>
                <w:rStyle w:val="jsgrdq"/>
                <w:color w:val="4D4D4D"/>
                <w:lang w:val="el-GR"/>
              </w:rPr>
              <w:t xml:space="preserve">πρόταση, διαμορφώνεται και η συνεισφορά των προγραμμάτων που προσφέρουμε. Το μεγαλύτερο πρακτικό ενδιαφέρον του </w:t>
            </w:r>
            <w:proofErr w:type="spellStart"/>
            <w:r w:rsidRPr="00613747">
              <w:rPr>
                <w:rStyle w:val="jsgrdq"/>
                <w:color w:val="4D4D4D"/>
                <w:lang w:val="el-GR"/>
              </w:rPr>
              <w:t>project</w:t>
            </w:r>
            <w:proofErr w:type="spellEnd"/>
            <w:r w:rsidRPr="00613747">
              <w:rPr>
                <w:rStyle w:val="jsgrdq"/>
                <w:color w:val="4D4D4D"/>
                <w:lang w:val="el-GR"/>
              </w:rPr>
              <w:t xml:space="preserve"> είναι</w:t>
            </w:r>
            <w:r w:rsidRPr="00613747">
              <w:rPr>
                <w:rStyle w:val="jsgrdq"/>
                <w:color w:val="4D4D4D"/>
                <w:lang w:val="el-GR"/>
              </w:rPr>
              <w:t>,</w:t>
            </w:r>
            <w:r w:rsidRPr="00613747">
              <w:rPr>
                <w:rStyle w:val="jsgrdq"/>
                <w:color w:val="4D4D4D"/>
                <w:lang w:val="el-GR"/>
              </w:rPr>
              <w:t xml:space="preserve"> όπως διευκρινίζεται εξ αρχής, ότι επιχειρούμε να γεφυρώσουμε τις ψηφιακές τεχνολογίες στην εκπαίδευση με την περιβαλλοντική τεχνολογία.</w:t>
            </w:r>
          </w:p>
          <w:p w14:paraId="233A12DA" w14:textId="77777777" w:rsidR="00613747" w:rsidRPr="00613747" w:rsidRDefault="00613747" w:rsidP="00613747">
            <w:pPr>
              <w:pStyle w:val="04xlpa"/>
              <w:rPr>
                <w:rStyle w:val="jsgrdq"/>
                <w:lang w:val="el-GR"/>
              </w:rPr>
            </w:pPr>
            <w:r w:rsidRPr="00613747">
              <w:rPr>
                <w:rStyle w:val="jsgrdq"/>
                <w:color w:val="4D4D4D"/>
                <w:lang w:val="el-GR"/>
              </w:rPr>
              <w:t>Συγκεκριμένα, δίνουμε στους εκπαιδευτικούς των σχολείων του εξωτερικού και τις τάξεις τους την επιλογή να χρησιμοποιούν:</w:t>
            </w:r>
          </w:p>
          <w:p w14:paraId="05F1FD0E" w14:textId="77777777" w:rsidR="00613747" w:rsidRPr="00613747" w:rsidRDefault="00613747" w:rsidP="00613747">
            <w:pPr>
              <w:pStyle w:val="04xlpa"/>
              <w:rPr>
                <w:rStyle w:val="jsgrdq"/>
                <w:lang w:val="el-GR"/>
              </w:rPr>
            </w:pPr>
            <w:r w:rsidRPr="00613747">
              <w:rPr>
                <w:rStyle w:val="jsgrdq"/>
                <w:color w:val="4D4D4D"/>
                <w:lang w:val="el-GR"/>
              </w:rPr>
              <w:t xml:space="preserve">1) Εργαλεία της ψηφιακής εκπαίδευση που επιτρέπουν την ενσωμάτωση του βιωματικού στοιχείου - απαραίτητου στον σχεδιασμό οποιουδήποτε γλωσσικού μαθήματος. </w:t>
            </w:r>
          </w:p>
          <w:p w14:paraId="2F85BCFB" w14:textId="77777777" w:rsidR="00613747" w:rsidRPr="00613747" w:rsidRDefault="00613747" w:rsidP="00613747">
            <w:pPr>
              <w:pStyle w:val="04xlpa"/>
              <w:rPr>
                <w:rStyle w:val="jsgrdq"/>
                <w:lang w:val="el-GR"/>
              </w:rPr>
            </w:pPr>
            <w:r w:rsidRPr="00613747">
              <w:rPr>
                <w:rStyle w:val="jsgrdq"/>
                <w:color w:val="4D4D4D"/>
                <w:lang w:val="el-GR"/>
              </w:rPr>
              <w:t>2) Συμπληρωματικό υλικό και e-books που θα κινήσουν το ενδιαφέρον για δραστηριότητες στο τοπικό περιβάλλον και θα δώσουν το αίσθημα της επαφής με την Ελλάδα.</w:t>
            </w:r>
          </w:p>
          <w:p w14:paraId="38AFBA2F" w14:textId="77777777" w:rsidR="00613747" w:rsidRPr="00613747" w:rsidRDefault="00613747" w:rsidP="00613747">
            <w:pPr>
              <w:pStyle w:val="04xlpa"/>
              <w:rPr>
                <w:rStyle w:val="jsgrdq"/>
                <w:lang w:val="el-GR"/>
              </w:rPr>
            </w:pPr>
            <w:r w:rsidRPr="00613747">
              <w:rPr>
                <w:rStyle w:val="jsgrdq"/>
                <w:color w:val="4D4D4D"/>
                <w:lang w:val="el-GR"/>
              </w:rPr>
              <w:t>3) Ειδικά σχεδιασμένη μεθοδολογία για τη διδασκαλία της ελληνικής που θα μπορούσε να έχει θετικό αντίκτυπο στο περιβάλλον και στη συνείδηση των μαθητών α) άμεσα ως παραγωγή καθαυτή των ψηφιακών υλικών που προορίζονται για την πλατφόρμα και β) έμμεσα ως καλλιέργεια του σεβασμού των μαθητών για το φυσικό περιβάλλον στο οποίο ζουν.</w:t>
            </w:r>
          </w:p>
          <w:p w14:paraId="48865E1D" w14:textId="77777777" w:rsidR="00613747" w:rsidRPr="00613747" w:rsidRDefault="00613747" w:rsidP="00613747">
            <w:pPr>
              <w:pStyle w:val="04xlpa"/>
              <w:rPr>
                <w:rStyle w:val="jsgrdq"/>
                <w:lang w:val="el-GR"/>
              </w:rPr>
            </w:pPr>
            <w:r w:rsidRPr="00613747">
              <w:rPr>
                <w:rStyle w:val="jsgrdq"/>
                <w:color w:val="4D4D4D"/>
                <w:lang w:val="el-GR"/>
              </w:rPr>
              <w:t>4) Επιπλέον υλικό για δραστηριότητες που μπορεί να συμπεριληφθεί στο ρεπερτόριο των ψηφιακών ασκήσεων με τρόπο που μπορεί να επενδυθεί αισθητηριακά και κινητικά, ούτως ώστε τα μέλη της σχολικής κοινότητας να μαθαίνουν Ελληνικά καθώς δρουν οικολογικά.</w:t>
            </w:r>
          </w:p>
          <w:p w14:paraId="0638098E" w14:textId="77777777" w:rsidR="00613747" w:rsidRPr="00613747" w:rsidRDefault="00613747" w:rsidP="00613747">
            <w:pPr>
              <w:rPr>
                <w:lang w:val="el-GR"/>
              </w:rPr>
            </w:pPr>
          </w:p>
          <w:p w14:paraId="1B2FBAC5" w14:textId="77777777" w:rsidR="00190BCA" w:rsidRPr="00821720" w:rsidRDefault="00190BCA" w:rsidP="00DA2A6A">
            <w:pPr>
              <w:jc w:val="both"/>
              <w:rPr>
                <w:rFonts w:ascii="Century Gothic" w:eastAsiaTheme="minorHAnsi" w:hAnsi="Century Gothic" w:cs="Calibri"/>
                <w:bCs/>
                <w:sz w:val="22"/>
                <w:lang w:val="el-GR"/>
              </w:rPr>
            </w:pPr>
          </w:p>
          <w:p w14:paraId="111CC92C" w14:textId="77777777" w:rsidR="003578FB" w:rsidRPr="00821720" w:rsidRDefault="00A4318E" w:rsidP="0054371C">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2"/>
          </w:p>
          <w:p w14:paraId="185E59E7" w14:textId="0A32FB06" w:rsidR="007A7084" w:rsidRPr="00613747" w:rsidRDefault="00613747" w:rsidP="00DA2A6A">
            <w:pPr>
              <w:jc w:val="both"/>
              <w:rPr>
                <w:rStyle w:val="jsgrdq"/>
                <w:color w:val="4D4D4D"/>
              </w:rPr>
            </w:pPr>
            <w:r w:rsidRPr="00613747">
              <w:rPr>
                <w:rStyle w:val="jsgrdq"/>
                <w:color w:val="4D4D4D"/>
              </w:rPr>
              <w:t xml:space="preserve">Στο τέλος κάθε ενότητας υπάρχει περιθώριο για </w:t>
            </w:r>
            <w:proofErr w:type="spellStart"/>
            <w:r w:rsidRPr="00613747">
              <w:rPr>
                <w:rStyle w:val="jsgrdq"/>
                <w:color w:val="4D4D4D"/>
              </w:rPr>
              <w:t>αυτοαξιολόγηση</w:t>
            </w:r>
            <w:proofErr w:type="spellEnd"/>
            <w:r w:rsidRPr="00613747">
              <w:rPr>
                <w:rStyle w:val="jsgrdq"/>
                <w:color w:val="4D4D4D"/>
              </w:rPr>
              <w:t>, τόσο του εκπαιδευτικού όσο και των μαθητών. Όπως ονομάζεται η διαδικασία με το πέρας τον βιωματικών δραστηριοτήτων, προτείνουμε τον «</w:t>
            </w:r>
            <w:proofErr w:type="spellStart"/>
            <w:r w:rsidRPr="00613747">
              <w:rPr>
                <w:rStyle w:val="jsgrdq"/>
                <w:color w:val="4D4D4D"/>
              </w:rPr>
              <w:t>αναστοχασμό</w:t>
            </w:r>
            <w:proofErr w:type="spellEnd"/>
            <w:r w:rsidRPr="00613747">
              <w:rPr>
                <w:rStyle w:val="jsgrdq"/>
                <w:color w:val="4D4D4D"/>
              </w:rPr>
              <w:t>» τον οποίον περιγράφουμε αναλυτικότατα.</w:t>
            </w:r>
          </w:p>
          <w:p w14:paraId="4B048D5E" w14:textId="77777777" w:rsidR="00613747" w:rsidRPr="00613747" w:rsidRDefault="00613747" w:rsidP="00DA2A6A">
            <w:pPr>
              <w:jc w:val="both"/>
              <w:rPr>
                <w:rFonts w:ascii="Century Gothic" w:hAnsi="Century Gothic" w:cs="Calibri"/>
                <w:bCs/>
                <w:lang w:val="el-GR"/>
              </w:rPr>
            </w:pPr>
          </w:p>
          <w:p w14:paraId="76ABC03E" w14:textId="34BCD357" w:rsidR="00613747" w:rsidRPr="00821720" w:rsidRDefault="00613747" w:rsidP="00DA2A6A">
            <w:pPr>
              <w:jc w:val="both"/>
              <w:rPr>
                <w:rFonts w:ascii="Century Gothic" w:hAnsi="Century Gothic" w:cs="Calibri"/>
                <w:bCs/>
                <w:sz w:val="22"/>
                <w:lang w:val="el-GR"/>
              </w:rPr>
            </w:pPr>
          </w:p>
        </w:tc>
        <w:tc>
          <w:tcPr>
            <w:tcW w:w="190" w:type="pct"/>
            <w:gridSpan w:val="3"/>
          </w:tcPr>
          <w:p w14:paraId="35FAF5BF" w14:textId="77777777" w:rsidR="0026113B" w:rsidRPr="00821720" w:rsidRDefault="0026113B" w:rsidP="00DA2A6A">
            <w:pPr>
              <w:jc w:val="both"/>
              <w:rPr>
                <w:rFonts w:ascii="Century Gothic" w:hAnsi="Century Gothic"/>
                <w:sz w:val="22"/>
                <w:lang w:val="el-GR"/>
              </w:rPr>
            </w:pPr>
          </w:p>
        </w:tc>
        <w:tc>
          <w:tcPr>
            <w:tcW w:w="1691" w:type="pct"/>
          </w:tcPr>
          <w:p w14:paraId="77B27786" w14:textId="77777777" w:rsidR="00A4318E" w:rsidRPr="00613747" w:rsidRDefault="00A4318E" w:rsidP="00DA2A6A">
            <w:pPr>
              <w:pStyle w:val="Heading2"/>
              <w:spacing w:before="0" w:after="0"/>
              <w:jc w:val="both"/>
              <w:rPr>
                <w:rFonts w:ascii="Century Gothic" w:hAnsi="Century Gothic" w:cs="Times New Roman"/>
                <w:b/>
                <w:sz w:val="22"/>
                <w:szCs w:val="22"/>
                <w:lang w:val="el-GR"/>
              </w:rPr>
            </w:pPr>
          </w:p>
          <w:p w14:paraId="14A05967" w14:textId="60CBE2EF" w:rsidR="00DA2A6A" w:rsidRPr="00235E79" w:rsidRDefault="00235E79" w:rsidP="00DA2A6A">
            <w:pPr>
              <w:pStyle w:val="Heading2"/>
              <w:spacing w:before="0" w:after="0"/>
              <w:jc w:val="both"/>
              <w:rPr>
                <w:rFonts w:ascii="Century Gothic" w:hAnsi="Century Gothic" w:cs="Times New Roman"/>
                <w:b/>
                <w:sz w:val="22"/>
                <w:szCs w:val="22"/>
              </w:rPr>
            </w:pPr>
            <w:r>
              <w:rPr>
                <w:rFonts w:ascii="Century Gothic" w:hAnsi="Century Gothic" w:cs="Times New Roman"/>
                <w:b/>
                <w:sz w:val="22"/>
                <w:szCs w:val="22"/>
              </w:rPr>
              <w:t>@Greek.and.Green (Fb/IG)</w:t>
            </w:r>
          </w:p>
          <w:p w14:paraId="6692727F" w14:textId="77777777" w:rsidR="00A4318E" w:rsidRPr="00235E79" w:rsidRDefault="00A4318E" w:rsidP="00190BCA">
            <w:pPr>
              <w:pStyle w:val="Heading2"/>
              <w:spacing w:before="0" w:after="0"/>
              <w:jc w:val="both"/>
              <w:rPr>
                <w:rFonts w:ascii="Century Gothic" w:hAnsi="Century Gothic" w:cs="Times New Roman"/>
                <w:sz w:val="22"/>
                <w:szCs w:val="22"/>
              </w:rPr>
            </w:pPr>
          </w:p>
          <w:p w14:paraId="1B3F672D" w14:textId="77777777" w:rsidR="002E4E12" w:rsidRPr="00235E79" w:rsidRDefault="002E4E12" w:rsidP="00DA2A6A">
            <w:pPr>
              <w:pStyle w:val="BlockText"/>
              <w:ind w:right="0"/>
              <w:jc w:val="both"/>
              <w:rPr>
                <w:rFonts w:ascii="Century Gothic" w:hAnsi="Century Gothic"/>
                <w:bCs/>
                <w:iCs w:val="0"/>
                <w:sz w:val="22"/>
              </w:rPr>
            </w:pPr>
          </w:p>
          <w:p w14:paraId="6A65F88B" w14:textId="77777777" w:rsidR="007919AA" w:rsidRPr="00235E79" w:rsidRDefault="007919AA" w:rsidP="00DA2A6A">
            <w:pPr>
              <w:pStyle w:val="BlockText"/>
              <w:ind w:right="0"/>
              <w:jc w:val="both"/>
              <w:rPr>
                <w:rFonts w:ascii="Century Gothic" w:hAnsi="Century Gothic"/>
                <w:bCs/>
                <w:iCs w:val="0"/>
                <w:sz w:val="22"/>
              </w:rPr>
            </w:pPr>
          </w:p>
          <w:p w14:paraId="64FCEC79" w14:textId="77777777" w:rsidR="00A4318E" w:rsidRPr="00235E79" w:rsidRDefault="00A4318E" w:rsidP="00DA2A6A">
            <w:pPr>
              <w:pStyle w:val="BlockText"/>
              <w:ind w:right="0"/>
              <w:jc w:val="both"/>
              <w:rPr>
                <w:rFonts w:ascii="Century Gothic" w:hAnsi="Century Gothic"/>
                <w:bCs/>
                <w:iCs w:val="0"/>
                <w:sz w:val="22"/>
              </w:rPr>
            </w:pPr>
          </w:p>
          <w:p w14:paraId="5608C116" w14:textId="77777777" w:rsidR="00A4318E" w:rsidRPr="00235E79" w:rsidRDefault="00A4318E" w:rsidP="00DA2A6A">
            <w:pPr>
              <w:pStyle w:val="BlockText"/>
              <w:ind w:right="0"/>
              <w:jc w:val="both"/>
              <w:rPr>
                <w:rFonts w:ascii="Century Gothic" w:hAnsi="Century Gothic"/>
                <w:sz w:val="22"/>
              </w:rPr>
            </w:pPr>
          </w:p>
        </w:tc>
      </w:tr>
    </w:tbl>
    <w:bookmarkEnd w:id="0"/>
    <w:bookmarkEnd w:id="1"/>
    <w:p w14:paraId="59ADC27D" w14:textId="77777777" w:rsidR="001D477F" w:rsidRPr="00A55FCD" w:rsidRDefault="001D477F" w:rsidP="001D477F">
      <w:pPr>
        <w:pStyle w:val="Heading1"/>
        <w:spacing w:before="0" w:after="0"/>
        <w:jc w:val="both"/>
        <w:rPr>
          <w:rFonts w:ascii="Century Gothic" w:hAnsi="Century Gothic" w:cs="Calibri"/>
          <w:b/>
          <w:sz w:val="22"/>
          <w:szCs w:val="22"/>
          <w:lang w:val="el-GR"/>
        </w:rPr>
      </w:pPr>
      <w:r w:rsidRPr="00235E79">
        <w:rPr>
          <w:rFonts w:ascii="Century Gothic" w:hAnsi="Century Gothic" w:cs="Calibri"/>
          <w:b/>
          <w:sz w:val="22"/>
          <w:szCs w:val="22"/>
        </w:rPr>
        <w:t xml:space="preserve"> </w:t>
      </w:r>
      <w:r w:rsidRPr="00821720">
        <w:rPr>
          <w:rFonts w:ascii="Century Gothic" w:hAnsi="Century Gothic" w:cs="Calibri"/>
          <w:b/>
          <w:sz w:val="22"/>
          <w:szCs w:val="22"/>
          <w:lang w:val="el-GR"/>
        </w:rPr>
        <w:t>Περιλαμβάνει</w:t>
      </w:r>
      <w:r w:rsidR="00821720" w:rsidRPr="00613747">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7A0B0BB9" w14:textId="77777777" w:rsidR="007A7084" w:rsidRPr="00821720" w:rsidRDefault="007A7084" w:rsidP="00DA2A6A">
      <w:pPr>
        <w:jc w:val="both"/>
        <w:rPr>
          <w:rFonts w:ascii="Century Gothic" w:hAnsi="Century Gothic"/>
          <w:sz w:val="22"/>
          <w:szCs w:val="22"/>
          <w:lang w:val="el-GR"/>
        </w:rPr>
      </w:pPr>
    </w:p>
    <w:p w14:paraId="14CDC201" w14:textId="77777777" w:rsidR="001D477F" w:rsidRPr="00821720" w:rsidRDefault="001D477F" w:rsidP="00DA2A6A">
      <w:pPr>
        <w:jc w:val="both"/>
        <w:rPr>
          <w:rFonts w:ascii="Century Gothic" w:hAnsi="Century Gothic"/>
          <w:sz w:val="22"/>
          <w:szCs w:val="22"/>
          <w:lang w:val="el-GR"/>
        </w:rPr>
      </w:pPr>
    </w:p>
    <w:p w14:paraId="34985557" w14:textId="705E6420" w:rsidR="001D477F" w:rsidRPr="00613747" w:rsidRDefault="00613747" w:rsidP="00DA2A6A">
      <w:pPr>
        <w:jc w:val="both"/>
        <w:rPr>
          <w:rStyle w:val="jsgrdq"/>
          <w:color w:val="4D4D4D"/>
        </w:rPr>
      </w:pPr>
      <w:r w:rsidRPr="00613747">
        <w:rPr>
          <w:rStyle w:val="jsgrdq"/>
          <w:color w:val="4D4D4D"/>
        </w:rPr>
        <w:t xml:space="preserve">Ναι, κάθε ενότητα περιλαμβάνει υποστηρικτικό υλικό, όπως αυτό που ενδεικτικά σας επισυνάπτουμε στο παρόν email. (Πνευματικά Δικαιώματα της </w:t>
      </w:r>
      <w:proofErr w:type="spellStart"/>
      <w:r w:rsidRPr="00613747">
        <w:rPr>
          <w:rStyle w:val="jsgrdq"/>
          <w:color w:val="4D4D4D"/>
        </w:rPr>
        <w:t>GreekandGreen</w:t>
      </w:r>
      <w:proofErr w:type="spellEnd"/>
      <w:r w:rsidRPr="00613747">
        <w:rPr>
          <w:rStyle w:val="jsgrdq"/>
          <w:color w:val="4D4D4D"/>
        </w:rPr>
        <w:t>)</w:t>
      </w:r>
    </w:p>
    <w:p w14:paraId="530EAE31" w14:textId="77777777" w:rsidR="001D477F" w:rsidRPr="00821720" w:rsidRDefault="001D477F" w:rsidP="00DA2A6A">
      <w:pPr>
        <w:jc w:val="both"/>
        <w:rPr>
          <w:rFonts w:ascii="Century Gothic" w:hAnsi="Century Gothic"/>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F106" w14:textId="77777777" w:rsidR="001E6DB9" w:rsidRDefault="001E6DB9">
      <w:r>
        <w:separator/>
      </w:r>
    </w:p>
  </w:endnote>
  <w:endnote w:type="continuationSeparator" w:id="0">
    <w:p w14:paraId="0DDA91BC" w14:textId="77777777" w:rsidR="001E6DB9" w:rsidRDefault="001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1ED5" w14:textId="77777777" w:rsidR="006168DA" w:rsidRDefault="0061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52F2" w14:textId="77777777" w:rsidR="007A7084" w:rsidRPr="006168DA" w:rsidRDefault="007A7084" w:rsidP="006168DA">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C65B" w14:textId="77777777" w:rsidR="006168DA" w:rsidRDefault="0061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AAD8" w14:textId="77777777" w:rsidR="001E6DB9" w:rsidRDefault="001E6DB9">
      <w:r>
        <w:separator/>
      </w:r>
    </w:p>
  </w:footnote>
  <w:footnote w:type="continuationSeparator" w:id="0">
    <w:p w14:paraId="04DF12B0" w14:textId="77777777" w:rsidR="001E6DB9" w:rsidRDefault="001E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65E2" w14:textId="77777777" w:rsidR="006168DA" w:rsidRDefault="0061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6C7" w14:textId="77777777" w:rsidR="006168DA" w:rsidRDefault="0061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56F1" w14:textId="77777777" w:rsidR="006168DA" w:rsidRDefault="0061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C01ED"/>
    <w:rsid w:val="001C21E2"/>
    <w:rsid w:val="001D3F69"/>
    <w:rsid w:val="001D477F"/>
    <w:rsid w:val="001E6DB9"/>
    <w:rsid w:val="001F4E23"/>
    <w:rsid w:val="00235E79"/>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73609"/>
    <w:rsid w:val="005A0A51"/>
    <w:rsid w:val="00613747"/>
    <w:rsid w:val="006168DA"/>
    <w:rsid w:val="0067573E"/>
    <w:rsid w:val="006E5B6B"/>
    <w:rsid w:val="00782074"/>
    <w:rsid w:val="007919AA"/>
    <w:rsid w:val="00792D99"/>
    <w:rsid w:val="007A7084"/>
    <w:rsid w:val="00817121"/>
    <w:rsid w:val="00821720"/>
    <w:rsid w:val="00853948"/>
    <w:rsid w:val="00871D49"/>
    <w:rsid w:val="00893424"/>
    <w:rsid w:val="008A3D93"/>
    <w:rsid w:val="008B714F"/>
    <w:rsid w:val="008C2A28"/>
    <w:rsid w:val="009042A3"/>
    <w:rsid w:val="00940596"/>
    <w:rsid w:val="0096445E"/>
    <w:rsid w:val="009D619F"/>
    <w:rsid w:val="009F709B"/>
    <w:rsid w:val="00A03075"/>
    <w:rsid w:val="00A4318E"/>
    <w:rsid w:val="00A52A7F"/>
    <w:rsid w:val="00A55FCD"/>
    <w:rsid w:val="00AE776C"/>
    <w:rsid w:val="00AF28CB"/>
    <w:rsid w:val="00B06ED7"/>
    <w:rsid w:val="00B64F98"/>
    <w:rsid w:val="00BC41D7"/>
    <w:rsid w:val="00C2018B"/>
    <w:rsid w:val="00C3208C"/>
    <w:rsid w:val="00C34009"/>
    <w:rsid w:val="00C600D1"/>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C2776"/>
    <w:rsid w:val="00EE691C"/>
    <w:rsid w:val="00EF4525"/>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4F6A1"/>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4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 w:type="character" w:styleId="UnresolvedMention">
    <w:name w:val="Unresolved Mention"/>
    <w:basedOn w:val="DefaultParagraphFont"/>
    <w:uiPriority w:val="99"/>
    <w:semiHidden/>
    <w:unhideWhenUsed/>
    <w:rsid w:val="00235E79"/>
    <w:rPr>
      <w:color w:val="605E5C"/>
      <w:shd w:val="clear" w:color="auto" w:fill="E1DFDD"/>
    </w:rPr>
  </w:style>
  <w:style w:type="character" w:customStyle="1" w:styleId="jsgrdq">
    <w:name w:val="jsgrdq"/>
    <w:basedOn w:val="DefaultParagraphFont"/>
    <w:rsid w:val="00235E79"/>
  </w:style>
  <w:style w:type="paragraph" w:customStyle="1" w:styleId="04xlpa">
    <w:name w:val="_04xlpa"/>
    <w:basedOn w:val="Normal"/>
    <w:rsid w:val="006137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105">
      <w:bodyDiv w:val="1"/>
      <w:marLeft w:val="0"/>
      <w:marRight w:val="0"/>
      <w:marTop w:val="0"/>
      <w:marBottom w:val="0"/>
      <w:divBdr>
        <w:top w:val="none" w:sz="0" w:space="0" w:color="auto"/>
        <w:left w:val="none" w:sz="0" w:space="0" w:color="auto"/>
        <w:bottom w:val="none" w:sz="0" w:space="0" w:color="auto"/>
        <w:right w:val="none" w:sz="0" w:space="0" w:color="auto"/>
      </w:divBdr>
    </w:div>
    <w:div w:id="405617275">
      <w:bodyDiv w:val="1"/>
      <w:marLeft w:val="0"/>
      <w:marRight w:val="0"/>
      <w:marTop w:val="0"/>
      <w:marBottom w:val="0"/>
      <w:divBdr>
        <w:top w:val="none" w:sz="0" w:space="0" w:color="auto"/>
        <w:left w:val="none" w:sz="0" w:space="0" w:color="auto"/>
        <w:bottom w:val="none" w:sz="0" w:space="0" w:color="auto"/>
        <w:right w:val="none" w:sz="0" w:space="0" w:color="auto"/>
      </w:divBdr>
    </w:div>
    <w:div w:id="538980931">
      <w:bodyDiv w:val="1"/>
      <w:marLeft w:val="0"/>
      <w:marRight w:val="0"/>
      <w:marTop w:val="0"/>
      <w:marBottom w:val="0"/>
      <w:divBdr>
        <w:top w:val="none" w:sz="0" w:space="0" w:color="auto"/>
        <w:left w:val="none" w:sz="0" w:space="0" w:color="auto"/>
        <w:bottom w:val="none" w:sz="0" w:space="0" w:color="auto"/>
        <w:right w:val="none" w:sz="0" w:space="0" w:color="auto"/>
      </w:divBdr>
    </w:div>
    <w:div w:id="56834357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4652981">
      <w:bodyDiv w:val="1"/>
      <w:marLeft w:val="0"/>
      <w:marRight w:val="0"/>
      <w:marTop w:val="0"/>
      <w:marBottom w:val="0"/>
      <w:divBdr>
        <w:top w:val="none" w:sz="0" w:space="0" w:color="auto"/>
        <w:left w:val="none" w:sz="0" w:space="0" w:color="auto"/>
        <w:bottom w:val="none" w:sz="0" w:space="0" w:color="auto"/>
        <w:right w:val="none" w:sz="0" w:space="0" w:color="auto"/>
      </w:divBdr>
    </w:div>
    <w:div w:id="1130125121">
      <w:bodyDiv w:val="1"/>
      <w:marLeft w:val="0"/>
      <w:marRight w:val="0"/>
      <w:marTop w:val="0"/>
      <w:marBottom w:val="0"/>
      <w:divBdr>
        <w:top w:val="none" w:sz="0" w:space="0" w:color="auto"/>
        <w:left w:val="none" w:sz="0" w:space="0" w:color="auto"/>
        <w:bottom w:val="none" w:sz="0" w:space="0" w:color="auto"/>
        <w:right w:val="none" w:sz="0" w:space="0" w:color="auto"/>
      </w:divBdr>
    </w:div>
    <w:div w:id="15438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kandgreen.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reekandgreen.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107A49"/>
    <w:rsid w:val="001576CB"/>
    <w:rsid w:val="00206FE3"/>
    <w:rsid w:val="002A42DE"/>
    <w:rsid w:val="002C1FDD"/>
    <w:rsid w:val="00315967"/>
    <w:rsid w:val="003347D8"/>
    <w:rsid w:val="0039089D"/>
    <w:rsid w:val="003A23C0"/>
    <w:rsid w:val="006D620F"/>
    <w:rsid w:val="00835C7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43"/>
  </w:style>
  <w:style w:type="paragraph" w:styleId="Heading2">
    <w:name w:val="heading 2"/>
    <w:basedOn w:val="Normal"/>
    <w:next w:val="Normal"/>
    <w:link w:val="Heading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DC9D4DF8AA74F93861E46C862F7D2">
    <w:name w:val="F5BDC9D4DF8AA74F93861E46C862F7D2"/>
    <w:rsid w:val="00900943"/>
  </w:style>
  <w:style w:type="paragraph" w:styleId="ListBullet">
    <w:name w:val="List Bullet"/>
    <w:basedOn w:val="Normal"/>
    <w:uiPriority w:val="1"/>
    <w:qFormat/>
    <w:rsid w:val="00EC3F4A"/>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rsid w:val="00900943"/>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rsid w:val="00900943"/>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900943"/>
    <w:pPr>
      <w:numPr>
        <w:numId w:val="3"/>
      </w:numPr>
      <w:spacing w:after="40"/>
    </w:pPr>
  </w:style>
  <w:style w:type="character" w:customStyle="1" w:styleId="Heading2Char">
    <w:name w:val="Heading 2 Char"/>
    <w:basedOn w:val="DefaultParagraphFont"/>
    <w:link w:val="Heading2"/>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PlaceholderText">
    <w:name w:val="Placeholder Text"/>
    <w:basedOn w:val="DefaultParagraphFont"/>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ΤΙΤΛΟΣ: «….»
ΦΟΡΕΑΣ: Greek and Green</vt:lpstr>
      <vt:lpstr>ΤΙΤΛΟΣ: «….»
ΦΟΡΕΑΣ: ….</vt:lpstr>
    </vt:vector>
  </TitlesOfParts>
  <Company/>
  <LinksUpToDate>false</LinksUpToDate>
  <CharactersWithSpaces>4802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«Βιωματικές δραστηριότητες για τη σχολική κοινότητα, υπαίθρια εκπαίδευση στη σχολική αυλή»
ΦΟΡΕΑΣ: Greek and Green</dc:title>
  <dc:creator>Theodora Asteri</dc:creator>
  <cp:lastModifiedBy>Microsoft Office User</cp:lastModifiedBy>
  <cp:revision>2</cp:revision>
  <dcterms:created xsi:type="dcterms:W3CDTF">2021-10-05T10:04:00Z</dcterms:created>
  <dcterms:modified xsi:type="dcterms:W3CDTF">2021-10-05T10:04:00Z</dcterms:modified>
</cp:coreProperties>
</file>