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00" w:rsidRDefault="00545400" w:rsidP="009B265E">
      <w:pPr>
        <w:ind w:left="709" w:hanging="709"/>
        <w:rPr>
          <w:rFonts w:ascii="Calibri" w:hAnsi="Calibri" w:cs="Calibri"/>
          <w:b/>
          <w:color w:val="222222"/>
          <w:shd w:val="clear" w:color="auto" w:fill="FFFFFF"/>
        </w:rPr>
      </w:pPr>
    </w:p>
    <w:p w:rsidR="0077427B" w:rsidRPr="00B16B3C" w:rsidRDefault="00F33D74" w:rsidP="009B265E">
      <w:pPr>
        <w:ind w:left="709" w:hanging="709"/>
        <w:rPr>
          <w:rFonts w:ascii="Calibri" w:hAnsi="Calibri" w:cs="Calibri"/>
          <w:b/>
          <w:color w:val="222222"/>
          <w:shd w:val="clear" w:color="auto" w:fill="FFFFFF"/>
        </w:rPr>
      </w:pPr>
      <w:bookmarkStart w:id="0" w:name="_GoBack"/>
      <w:bookmarkEnd w:id="0"/>
      <w:r w:rsidRPr="00B16B3C">
        <w:rPr>
          <w:rFonts w:ascii="Calibri" w:hAnsi="Calibri" w:cs="Calibri"/>
          <w:b/>
          <w:color w:val="222222"/>
          <w:shd w:val="clear" w:color="auto" w:fill="FFFFFF"/>
        </w:rPr>
        <w:t>Προτεινόμενη βιβλιογραφία</w:t>
      </w:r>
    </w:p>
    <w:p w:rsidR="009C5E1C" w:rsidRPr="00F33D74" w:rsidRDefault="009C5E1C" w:rsidP="009B265E">
      <w:pPr>
        <w:ind w:left="709" w:hanging="709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88624F" w:rsidRPr="00B16B3C" w:rsidRDefault="0088624F" w:rsidP="009B265E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Abbas, Y., Tjen, C., &amp; Wicaksono, P. T. (2021). Tax education and tax awareness: A study on the Pajak Bertutur Indonesian tax education program.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J. Australasian Tax Tchrs. Ass'n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16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198.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Akkurt, T. S., &amp; Sönmez, Ö. F. (2024). Determination of Tax Awareness Level of Secondary School Students.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Türk Akademik Yayınlar Dergisi (TAY Journal)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8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(2), 225-245.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Antošová, M., Csikósová, A., &amp; Mihalčová, B. (2014). Professional education of employees provided through tax school.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Procedia-Social and Behavioral Sciences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116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1626-1630.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Faizal, S. M., Zaini, R. M., &amp; Somasundaram, N. R. (2021). Tax Awareness and Tax Knowledge of Students at Secondary School Level in Malaysia.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International Business Education Journal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14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(1), 65-70.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Hanapi, A. M. (2022). The impact of tax education programs on tax compliance among teachers in Malaysia.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South East Asia Journal of Contemporary Business, Economics and Law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26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(2), 56-63.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Kurniawan, D. (2020). The influence of tax education during higher education on tax knowledge and its effect on personal tax compliance.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Journal of Indonesian Economy and Business: JIEB.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35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(1), 57-72.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Okomina, E., &amp; Britina, A. Financial Game </w:t>
      </w:r>
      <w:proofErr w:type="gramStart"/>
      <w:r w:rsidR="00B16B3C">
        <w:rPr>
          <w:rFonts w:ascii="Calibri" w:hAnsi="Calibri" w:cs="Calibri"/>
          <w:color w:val="222222"/>
          <w:shd w:val="clear" w:color="auto" w:fill="FFFFFF"/>
          <w:lang w:val="en-US"/>
        </w:rPr>
        <w:t>As</w:t>
      </w:r>
      <w:proofErr w:type="gramEnd"/>
      <w:r w:rsid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 Effective Development Form OF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 Financial Literacy Course.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European Proceedings of Social and Behavioural Sciences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Platz, L., &amp; Jüttler, M. (2022). Game-based learning as a gateway for promoting financial literacy–how games in economics influence students’ financial interest.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Citizenship, Social and Economics Education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21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(3), 185-208.</w:t>
      </w:r>
    </w:p>
    <w:p w:rsidR="00F626D6" w:rsidRPr="00B16B3C" w:rsidRDefault="00F626D6" w:rsidP="009B265E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Putro, P., Ryanto, B. B., &amp; Tjen, C. (2020). Analysis of tax education and tax knowledge: survey on university students in Indonesia.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J. Australasian Tax Tchrs. Ass'n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15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232.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Remali, A. M., &amp; Jalil, A. (2021). Does Education Influence Tax Compliance?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Global Business and Management Research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13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(4s), 963-972.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Reuter, J., Dias, M. F., Amorim, M., Madaleno, M., Vieira, E., &amp; Magueta, D. (2021). IS GAME-BASED LEARNING EFFECTIVE IN PROMOTING FINANCIAL LITERACY? OPPORTUNITIES AND CHALLENGES.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INTED2021 Proceedings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6601-6610.</w:t>
      </w:r>
    </w:p>
    <w:p w:rsidR="0029138F" w:rsidRPr="00B16B3C" w:rsidRDefault="00EB6937" w:rsidP="0077427B">
      <w:pPr>
        <w:ind w:left="709" w:hanging="709"/>
        <w:rPr>
          <w:rFonts w:ascii="Calibri" w:hAnsi="Calibri" w:cs="Calibri"/>
          <w:color w:val="222222"/>
          <w:shd w:val="clear" w:color="auto" w:fill="FFFFFF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Twesige, D., Rutungwa, E., Faustin, G., Misago, I. K., &amp; Mutarinda, S. (2024). Gender and the tax compliance puzzle: does gender influence taxpayers’ behaviour towards tax compliance? </w:t>
      </w:r>
      <w:r w:rsidRPr="00B16B3C">
        <w:rPr>
          <w:rFonts w:ascii="Calibri" w:hAnsi="Calibri" w:cs="Calibri"/>
          <w:color w:val="222222"/>
          <w:shd w:val="clear" w:color="auto" w:fill="FFFFFF"/>
        </w:rPr>
        <w:t>Evidence from Rwanda.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</w:rPr>
        <w:t>Cogent Business &amp; Management</w:t>
      </w:r>
      <w:r w:rsidRPr="00B16B3C">
        <w:rPr>
          <w:rFonts w:ascii="Calibri" w:hAnsi="Calibri" w:cs="Calibri"/>
          <w:color w:val="222222"/>
          <w:shd w:val="clear" w:color="auto" w:fill="FFFFFF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</w:rPr>
        <w:t>11</w:t>
      </w:r>
      <w:r w:rsidRPr="00B16B3C">
        <w:rPr>
          <w:rFonts w:ascii="Calibri" w:hAnsi="Calibri" w:cs="Calibri"/>
          <w:color w:val="222222"/>
          <w:shd w:val="clear" w:color="auto" w:fill="FFFFFF"/>
        </w:rPr>
        <w:t>(1), 2316887.</w:t>
      </w:r>
    </w:p>
    <w:p w:rsidR="0029138F" w:rsidRDefault="0029138F" w:rsidP="00B008B0">
      <w:pPr>
        <w:rPr>
          <w:rFonts w:ascii="Arial" w:hAnsi="Arial" w:cs="Arial"/>
          <w:color w:val="333333"/>
          <w:shd w:val="clear" w:color="auto" w:fill="FFFFFF"/>
        </w:rPr>
      </w:pPr>
    </w:p>
    <w:p w:rsidR="0029138F" w:rsidRPr="0029138F" w:rsidRDefault="0029138F" w:rsidP="0077427B">
      <w:pPr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el-GR"/>
        </w:rPr>
      </w:pPr>
      <w:r w:rsidRPr="0029138F">
        <w:rPr>
          <w:rFonts w:ascii="Segoe UI" w:eastAsia="Times New Roman" w:hAnsi="Segoe UI" w:cs="Segoe UI"/>
          <w:color w:val="212529"/>
          <w:lang w:eastAsia="el-GR"/>
        </w:rPr>
        <w:lastRenderedPageBreak/>
        <w:br/>
      </w:r>
      <w:r w:rsidRPr="0029138F">
        <w:rPr>
          <w:rFonts w:ascii="Segoe UI" w:eastAsia="Times New Roman" w:hAnsi="Segoe UI" w:cs="Segoe UI"/>
          <w:color w:val="212529"/>
          <w:lang w:eastAsia="el-GR"/>
        </w:rPr>
        <w:br/>
      </w:r>
    </w:p>
    <w:p w:rsidR="0029138F" w:rsidRPr="00B008B0" w:rsidRDefault="0029138F" w:rsidP="00B008B0">
      <w:pPr>
        <w:rPr>
          <w:rFonts w:ascii="Calibri" w:hAnsi="Calibri" w:cs="Calibri"/>
        </w:rPr>
      </w:pPr>
    </w:p>
    <w:sectPr w:rsidR="0029138F" w:rsidRPr="00B008B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1A" w:rsidRDefault="0010161A" w:rsidP="00545400">
      <w:pPr>
        <w:spacing w:after="0" w:line="240" w:lineRule="auto"/>
      </w:pPr>
      <w:r>
        <w:separator/>
      </w:r>
    </w:p>
  </w:endnote>
  <w:endnote w:type="continuationSeparator" w:id="0">
    <w:p w:rsidR="0010161A" w:rsidRDefault="0010161A" w:rsidP="0054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1A" w:rsidRDefault="0010161A" w:rsidP="00545400">
      <w:pPr>
        <w:spacing w:after="0" w:line="240" w:lineRule="auto"/>
      </w:pPr>
      <w:r>
        <w:separator/>
      </w:r>
    </w:p>
  </w:footnote>
  <w:footnote w:type="continuationSeparator" w:id="0">
    <w:p w:rsidR="0010161A" w:rsidRDefault="0010161A" w:rsidP="0054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00" w:rsidRDefault="00545400" w:rsidP="00545400">
    <w:pPr>
      <w:pStyle w:val="a3"/>
      <w:jc w:val="center"/>
    </w:pPr>
    <w:r>
      <w:rPr>
        <w:noProof/>
        <w:lang w:eastAsia="el-GR"/>
      </w:rPr>
      <w:drawing>
        <wp:inline distT="0" distB="0" distL="0" distR="0" wp14:anchorId="0F759602" wp14:editId="2D087A02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5E"/>
    <w:rsid w:val="0010161A"/>
    <w:rsid w:val="001B3A67"/>
    <w:rsid w:val="002262A9"/>
    <w:rsid w:val="0029138F"/>
    <w:rsid w:val="0032333B"/>
    <w:rsid w:val="00545400"/>
    <w:rsid w:val="0077427B"/>
    <w:rsid w:val="0088624F"/>
    <w:rsid w:val="00887427"/>
    <w:rsid w:val="008D2DC7"/>
    <w:rsid w:val="009B265E"/>
    <w:rsid w:val="009C5E1C"/>
    <w:rsid w:val="00B008B0"/>
    <w:rsid w:val="00B16B3C"/>
    <w:rsid w:val="00E640E4"/>
    <w:rsid w:val="00EB6937"/>
    <w:rsid w:val="00F33D74"/>
    <w:rsid w:val="00F6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69CE"/>
  <w15:chartTrackingRefBased/>
  <w15:docId w15:val="{C7F889E4-4ED3-4CEA-AB29-92881293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4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5400"/>
  </w:style>
  <w:style w:type="paragraph" w:styleId="a4">
    <w:name w:val="footer"/>
    <w:basedOn w:val="a"/>
    <w:link w:val="Char0"/>
    <w:uiPriority w:val="99"/>
    <w:unhideWhenUsed/>
    <w:rsid w:val="005454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Στειακάκης Χρυσοβαλάντης</cp:lastModifiedBy>
  <cp:revision>5</cp:revision>
  <dcterms:created xsi:type="dcterms:W3CDTF">2024-10-14T04:59:00Z</dcterms:created>
  <dcterms:modified xsi:type="dcterms:W3CDTF">2024-11-18T08:38:00Z</dcterms:modified>
</cp:coreProperties>
</file>