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6D" w:rsidRDefault="005C096D" w:rsidP="009B265E">
      <w:pPr>
        <w:ind w:left="709" w:hanging="709"/>
        <w:rPr>
          <w:rFonts w:ascii="Calibri" w:hAnsi="Calibri" w:cs="Calibri"/>
          <w:b/>
          <w:color w:val="222222"/>
          <w:shd w:val="clear" w:color="auto" w:fill="FFFFFF"/>
        </w:rPr>
      </w:pPr>
    </w:p>
    <w:p w:rsidR="0077427B" w:rsidRPr="00B16B3C" w:rsidRDefault="00F33D74" w:rsidP="009B265E">
      <w:pPr>
        <w:ind w:left="709" w:hanging="709"/>
        <w:rPr>
          <w:rFonts w:ascii="Calibri" w:hAnsi="Calibri" w:cs="Calibri"/>
          <w:b/>
          <w:color w:val="222222"/>
          <w:shd w:val="clear" w:color="auto" w:fill="FFFFFF"/>
        </w:rPr>
      </w:pPr>
      <w:r w:rsidRPr="00B16B3C">
        <w:rPr>
          <w:rFonts w:ascii="Calibri" w:hAnsi="Calibri" w:cs="Calibri"/>
          <w:b/>
          <w:color w:val="222222"/>
          <w:shd w:val="clear" w:color="auto" w:fill="FFFFFF"/>
        </w:rPr>
        <w:t>Προτεινόμενη βιβλιογραφία</w:t>
      </w:r>
    </w:p>
    <w:p w:rsidR="009C5E1C" w:rsidRPr="00F33D74" w:rsidRDefault="009C5E1C" w:rsidP="009B265E">
      <w:pPr>
        <w:ind w:left="709" w:hanging="709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88624F" w:rsidRPr="00B16B3C" w:rsidRDefault="0088624F" w:rsidP="009B265E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Abbas, Y., Tjen, C., &amp; Wicaksono, P. T. (2021). Tax education and tax awareness: A study on the Pajak Bertutur Indonesian tax education program.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J. Australasian Tax Tchrs. Ass'n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16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 198.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Akkurt, T. S., &amp; Sönmez, Ö. F. (2024). Determination of Tax Awareness Level of Secondary School Students.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Türk Akademik Yayınlar Dergisi (TAY Journal)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8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(2), 225-245.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Antošová, M., Csikósová, A., &amp; Mihalčová, B. (2014). Professional education of employees provided through tax school.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Procedia-Social and Behavioral Sciences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116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 1626-1630.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Faizal, S. M., Zaini, R. M., &amp; Somasundaram, N. R. (2021). Tax Awareness and Tax Knowledge of Students at Secondary School Level in Malaysia.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International Business Education Journal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14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(1), 65-70.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Hanapi, A. M. (2022). The impact of tax education programs on tax compliance among teachers in Malaysia.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South East Asia Journal of Contemporary Business, Economics and Law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26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(2), 56-63.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Kurniawan, D. (2020). The influence of tax education during higher education on tax knowledge and its effect on personal tax compliance.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Journal of Indonesian Economy and Business: JIEB.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35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(1), 57-72.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 xml:space="preserve">Okomina, E., &amp; Britina, A. Financial Game </w:t>
      </w:r>
      <w:proofErr w:type="gramStart"/>
      <w:r w:rsidR="00B16B3C">
        <w:rPr>
          <w:rFonts w:ascii="Calibri" w:hAnsi="Calibri" w:cs="Calibri"/>
          <w:color w:val="222222"/>
          <w:shd w:val="clear" w:color="auto" w:fill="FFFFFF"/>
          <w:lang w:val="en-US"/>
        </w:rPr>
        <w:t>As</w:t>
      </w:r>
      <w:proofErr w:type="gramEnd"/>
      <w:r w:rsidR="00B16B3C">
        <w:rPr>
          <w:rFonts w:ascii="Calibri" w:hAnsi="Calibri" w:cs="Calibri"/>
          <w:color w:val="222222"/>
          <w:shd w:val="clear" w:color="auto" w:fill="FFFFFF"/>
          <w:lang w:val="en-US"/>
        </w:rPr>
        <w:t xml:space="preserve"> Effective Development Form OF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 xml:space="preserve"> Financial Literacy Course.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European Proceedings of Social and Behavioural Sciences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Platz, L., &amp; Jüttler, M. (2022). Game-based learning as a gateway for promoting financial literacy–how games in economics influence students’ financial interest.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Citizenship, Social and Economics Education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21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(3), 185-208.</w:t>
      </w:r>
    </w:p>
    <w:p w:rsidR="00F626D6" w:rsidRPr="00B16B3C" w:rsidRDefault="00F626D6" w:rsidP="009B265E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Putro, P., Ryanto, B. B., &amp; Tjen, C. (2020). Analysis of tax education and tax knowledge: survey on university students in Indonesia.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J. Australasian Tax Tchrs. Ass'n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15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 232.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Remali, A. M., &amp; Jalil, A. (2021). Does Education Influence Tax Compliance?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Global Business and Management Research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13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(4s), 963-972.</w:t>
      </w:r>
    </w:p>
    <w:p w:rsidR="0077427B" w:rsidRPr="00B16B3C" w:rsidRDefault="0077427B" w:rsidP="0077427B">
      <w:pPr>
        <w:ind w:left="709" w:hanging="709"/>
        <w:rPr>
          <w:rFonts w:ascii="Calibri" w:hAnsi="Calibri" w:cs="Calibri"/>
          <w:color w:val="222222"/>
          <w:shd w:val="clear" w:color="auto" w:fill="FFFFFF"/>
          <w:lang w:val="en-US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Reuter, J., Dias, M. F., Amorim, M., Madaleno, M., Vieira, E., &amp; Magueta, D. (2021). IS GAME-BASED LEARNING EFFECTIVE IN PROMOTING FINANCIAL LITERACY? OPPORTUNITIES AND CHALLENGES.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  <w:lang w:val="en-US"/>
        </w:rPr>
        <w:t>INTED2021 Proceedings</w:t>
      </w: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>, 6601-6610.</w:t>
      </w:r>
    </w:p>
    <w:p w:rsidR="0029138F" w:rsidRPr="00B16B3C" w:rsidRDefault="00EB6937" w:rsidP="0077427B">
      <w:pPr>
        <w:ind w:left="709" w:hanging="709"/>
        <w:rPr>
          <w:rFonts w:ascii="Calibri" w:hAnsi="Calibri" w:cs="Calibri"/>
          <w:color w:val="222222"/>
          <w:shd w:val="clear" w:color="auto" w:fill="FFFFFF"/>
        </w:rPr>
      </w:pPr>
      <w:r w:rsidRPr="00B16B3C">
        <w:rPr>
          <w:rFonts w:ascii="Calibri" w:hAnsi="Calibri" w:cs="Calibri"/>
          <w:color w:val="222222"/>
          <w:shd w:val="clear" w:color="auto" w:fill="FFFFFF"/>
          <w:lang w:val="en-US"/>
        </w:rPr>
        <w:t xml:space="preserve">Twesige, D., Rutungwa, E., Faustin, G., Misago, I. K., &amp; Mutarinda, S. (2024). Gender and the tax compliance puzzle: does gender influence taxpayers’ behaviour towards tax compliance? </w:t>
      </w:r>
      <w:r w:rsidRPr="00B16B3C">
        <w:rPr>
          <w:rFonts w:ascii="Calibri" w:hAnsi="Calibri" w:cs="Calibri"/>
          <w:color w:val="222222"/>
          <w:shd w:val="clear" w:color="auto" w:fill="FFFFFF"/>
        </w:rPr>
        <w:t>Evidence from Rwanda.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</w:rPr>
        <w:t>Cogent Business &amp; Management</w:t>
      </w:r>
      <w:r w:rsidRPr="00B16B3C">
        <w:rPr>
          <w:rFonts w:ascii="Calibri" w:hAnsi="Calibri" w:cs="Calibri"/>
          <w:color w:val="222222"/>
          <w:shd w:val="clear" w:color="auto" w:fill="FFFFFF"/>
        </w:rPr>
        <w:t>, </w:t>
      </w:r>
      <w:r w:rsidRPr="00B16B3C">
        <w:rPr>
          <w:rFonts w:ascii="Calibri" w:hAnsi="Calibri" w:cs="Calibri"/>
          <w:i/>
          <w:iCs/>
          <w:color w:val="222222"/>
          <w:shd w:val="clear" w:color="auto" w:fill="FFFFFF"/>
        </w:rPr>
        <w:t>11</w:t>
      </w:r>
      <w:r w:rsidRPr="00B16B3C">
        <w:rPr>
          <w:rFonts w:ascii="Calibri" w:hAnsi="Calibri" w:cs="Calibri"/>
          <w:color w:val="222222"/>
          <w:shd w:val="clear" w:color="auto" w:fill="FFFFFF"/>
        </w:rPr>
        <w:t>(1), 2316887.</w:t>
      </w:r>
    </w:p>
    <w:p w:rsidR="0029138F" w:rsidRDefault="0029138F" w:rsidP="00B008B0">
      <w:pPr>
        <w:rPr>
          <w:rFonts w:ascii="Arial" w:hAnsi="Arial" w:cs="Arial"/>
          <w:color w:val="333333"/>
          <w:shd w:val="clear" w:color="auto" w:fill="FFFFFF"/>
        </w:rPr>
      </w:pPr>
    </w:p>
    <w:p w:rsidR="0029138F" w:rsidRPr="0029138F" w:rsidRDefault="0029138F" w:rsidP="0077427B">
      <w:pPr>
        <w:spacing w:after="0" w:line="240" w:lineRule="auto"/>
        <w:rPr>
          <w:rFonts w:ascii="Segoe UI" w:eastAsia="Times New Roman" w:hAnsi="Segoe UI" w:cs="Segoe UI"/>
          <w:color w:val="212529"/>
          <w:sz w:val="20"/>
          <w:szCs w:val="20"/>
          <w:lang w:eastAsia="el-GR"/>
        </w:rPr>
      </w:pPr>
      <w:r w:rsidRPr="0029138F">
        <w:rPr>
          <w:rFonts w:ascii="Segoe UI" w:eastAsia="Times New Roman" w:hAnsi="Segoe UI" w:cs="Segoe UI"/>
          <w:color w:val="212529"/>
          <w:lang w:eastAsia="el-GR"/>
        </w:rPr>
        <w:lastRenderedPageBreak/>
        <w:br/>
      </w:r>
      <w:r w:rsidRPr="0029138F">
        <w:rPr>
          <w:rFonts w:ascii="Segoe UI" w:eastAsia="Times New Roman" w:hAnsi="Segoe UI" w:cs="Segoe UI"/>
          <w:color w:val="212529"/>
          <w:lang w:eastAsia="el-GR"/>
        </w:rPr>
        <w:br/>
      </w:r>
    </w:p>
    <w:p w:rsidR="0029138F" w:rsidRPr="00B008B0" w:rsidRDefault="0029138F" w:rsidP="00B008B0">
      <w:pPr>
        <w:rPr>
          <w:rFonts w:ascii="Calibri" w:hAnsi="Calibri" w:cs="Calibri"/>
        </w:rPr>
      </w:pPr>
    </w:p>
    <w:sectPr w:rsidR="0029138F" w:rsidRPr="00B008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4E" w:rsidRDefault="00FD274E" w:rsidP="005C096D">
      <w:pPr>
        <w:spacing w:after="0" w:line="240" w:lineRule="auto"/>
      </w:pPr>
      <w:r>
        <w:separator/>
      </w:r>
    </w:p>
  </w:endnote>
  <w:endnote w:type="continuationSeparator" w:id="0">
    <w:p w:rsidR="00FD274E" w:rsidRDefault="00FD274E" w:rsidP="005C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6D" w:rsidRDefault="005C09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6D" w:rsidRDefault="005C096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6D" w:rsidRDefault="005C0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4E" w:rsidRDefault="00FD274E" w:rsidP="005C096D">
      <w:pPr>
        <w:spacing w:after="0" w:line="240" w:lineRule="auto"/>
      </w:pPr>
      <w:r>
        <w:separator/>
      </w:r>
    </w:p>
  </w:footnote>
  <w:footnote w:type="continuationSeparator" w:id="0">
    <w:p w:rsidR="00FD274E" w:rsidRDefault="00FD274E" w:rsidP="005C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6D" w:rsidRDefault="005C0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6D" w:rsidRDefault="005C096D" w:rsidP="005C096D">
    <w:pPr>
      <w:pStyle w:val="a3"/>
      <w:jc w:val="center"/>
    </w:pPr>
    <w:r>
      <w:rPr>
        <w:noProof/>
        <w:lang w:eastAsia="el-GR"/>
      </w:rPr>
      <w:drawing>
        <wp:inline distT="0" distB="0" distL="0" distR="0" wp14:anchorId="7A940B41" wp14:editId="1C80C476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6D" w:rsidRDefault="005C09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5E"/>
    <w:rsid w:val="001B3A67"/>
    <w:rsid w:val="002262A9"/>
    <w:rsid w:val="0029138F"/>
    <w:rsid w:val="0032333B"/>
    <w:rsid w:val="005C096D"/>
    <w:rsid w:val="0077427B"/>
    <w:rsid w:val="0088624F"/>
    <w:rsid w:val="00887427"/>
    <w:rsid w:val="008D2DC7"/>
    <w:rsid w:val="009B265E"/>
    <w:rsid w:val="009C5E1C"/>
    <w:rsid w:val="00B008B0"/>
    <w:rsid w:val="00B16B3C"/>
    <w:rsid w:val="00E640E4"/>
    <w:rsid w:val="00EB6937"/>
    <w:rsid w:val="00F33D74"/>
    <w:rsid w:val="00F626D6"/>
    <w:rsid w:val="00F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DB92"/>
  <w15:chartTrackingRefBased/>
  <w15:docId w15:val="{C7F889E4-4ED3-4CEA-AB29-92881293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9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C096D"/>
  </w:style>
  <w:style w:type="paragraph" w:styleId="a4">
    <w:name w:val="footer"/>
    <w:basedOn w:val="a"/>
    <w:link w:val="Char0"/>
    <w:uiPriority w:val="99"/>
    <w:unhideWhenUsed/>
    <w:rsid w:val="005C09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C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Στειακάκης Χρυσοβαλάντης</cp:lastModifiedBy>
  <cp:revision>5</cp:revision>
  <dcterms:created xsi:type="dcterms:W3CDTF">2024-10-14T04:59:00Z</dcterms:created>
  <dcterms:modified xsi:type="dcterms:W3CDTF">2024-11-18T08:40:00Z</dcterms:modified>
</cp:coreProperties>
</file>