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73D" w:rsidRPr="0008473D" w:rsidRDefault="0008473D" w:rsidP="0008473D">
      <w:pPr>
        <w:tabs>
          <w:tab w:val="num" w:pos="284"/>
        </w:tabs>
        <w:spacing w:after="0" w:line="276" w:lineRule="auto"/>
        <w:ind w:left="284" w:hanging="284"/>
        <w:jc w:val="both"/>
        <w:outlineLvl w:val="0"/>
        <w:rPr>
          <w:rFonts w:ascii="Calibri" w:eastAsia="Calibri" w:hAnsi="Calibri" w:cs="Calibri"/>
          <w:b/>
          <w:kern w:val="0"/>
          <w14:ligatures w14:val="none"/>
        </w:rPr>
      </w:pPr>
    </w:p>
    <w:p w:rsidR="0008473D" w:rsidRPr="0008473D" w:rsidRDefault="0008473D" w:rsidP="0008473D">
      <w:pPr>
        <w:tabs>
          <w:tab w:val="num" w:pos="0"/>
        </w:tabs>
        <w:spacing w:after="0" w:line="276" w:lineRule="auto"/>
        <w:jc w:val="both"/>
        <w:outlineLvl w:val="0"/>
        <w:rPr>
          <w:rFonts w:ascii="Calibri" w:eastAsia="Calibri" w:hAnsi="Calibri" w:cs="Calibri"/>
          <w:b/>
          <w:kern w:val="0"/>
          <w14:ligatures w14:val="none"/>
        </w:rPr>
      </w:pPr>
      <w:r w:rsidRPr="0008473D">
        <w:rPr>
          <w:rFonts w:ascii="Calibri" w:eastAsia="Calibri" w:hAnsi="Calibri" w:cs="Calibri"/>
          <w:b/>
          <w:kern w:val="0"/>
          <w14:ligatures w14:val="none"/>
        </w:rPr>
        <w:t>Περιγραφή βασικού θεωρητικού πλαισίου υποστήριξης του προγράμματος (έως 300 λέξεις)</w:t>
      </w:r>
    </w:p>
    <w:p w:rsidR="0008473D" w:rsidRPr="0008473D" w:rsidRDefault="0008473D" w:rsidP="0008473D">
      <w:pPr>
        <w:tabs>
          <w:tab w:val="num" w:pos="284"/>
        </w:tabs>
        <w:spacing w:after="0" w:line="276" w:lineRule="auto"/>
        <w:ind w:left="284" w:hanging="284"/>
        <w:jc w:val="both"/>
        <w:outlineLvl w:val="0"/>
        <w:rPr>
          <w:rFonts w:ascii="Calibri" w:eastAsia="Calibri" w:hAnsi="Calibri" w:cs="Calibri"/>
          <w:b/>
          <w:kern w:val="0"/>
          <w14:ligatures w14:val="none"/>
        </w:rPr>
      </w:pP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jc w:val="both"/>
        <w:rPr>
          <w:rFonts w:ascii="Calibri" w:hAnsi="Calibri" w:cs="Calibri"/>
        </w:rPr>
      </w:pPr>
      <w:r w:rsidRPr="0008473D">
        <w:rPr>
          <w:rFonts w:ascii="Calibri" w:hAnsi="Calibri" w:cs="Calibri"/>
        </w:rPr>
        <w:t xml:space="preserve">Η επιλογή να μελετηθεί το ζήτημα της πανδημίας COVID-19 μέσα από το πρίσμα της Εκπαίδευσης για την </w:t>
      </w:r>
      <w:proofErr w:type="spellStart"/>
      <w:r w:rsidRPr="0008473D">
        <w:rPr>
          <w:rFonts w:ascii="Calibri" w:hAnsi="Calibri" w:cs="Calibri"/>
        </w:rPr>
        <w:t>Αειφορία</w:t>
      </w:r>
      <w:proofErr w:type="spellEnd"/>
      <w:r w:rsidRPr="0008473D">
        <w:rPr>
          <w:rFonts w:ascii="Calibri" w:hAnsi="Calibri" w:cs="Calibri"/>
        </w:rPr>
        <w:t xml:space="preserve"> εξυπηρετεί διττό σκοπό. Αφενός επιτυγχάνεται η συστημική κατανόηση της πανδημίας και αφετέρου, παρέχεται ένα απτό και βιωμένο παράδειγμα μελέτης μέσα από το οποίο προσεγγίζονται οι περισσότεροι από τους 17 Στόχους Αειφόρου Ανάπτυξης του ΟΗΕ. Με άλλα λόγια, η Εκπαίδευση για την </w:t>
      </w:r>
      <w:proofErr w:type="spellStart"/>
      <w:r w:rsidRPr="0008473D">
        <w:rPr>
          <w:rFonts w:ascii="Calibri" w:hAnsi="Calibri" w:cs="Calibri"/>
        </w:rPr>
        <w:t>Αειφορία</w:t>
      </w:r>
      <w:proofErr w:type="spellEnd"/>
      <w:r w:rsidRPr="0008473D">
        <w:rPr>
          <w:rFonts w:ascii="Calibri" w:hAnsi="Calibri" w:cs="Calibri"/>
        </w:rPr>
        <w:t xml:space="preserve"> όχι μόνο προσφέρει το θεωρητικό ερμηνευτικό πλαίσιο για την προσέγγιση των σύνθετων πτυχών της πανδημίας, αλλά και συνεισφέρει στην παιδαγωγική π</w:t>
      </w:r>
      <w:bookmarkStart w:id="0" w:name="_GoBack"/>
      <w:bookmarkEnd w:id="0"/>
      <w:r w:rsidRPr="0008473D">
        <w:rPr>
          <w:rFonts w:ascii="Calibri" w:hAnsi="Calibri" w:cs="Calibri"/>
        </w:rPr>
        <w:t xml:space="preserve">ροσέγγισή τους με διδακτικά εργαλεία που βασίζονται σε συμμετοχικές διδακτικές τεχνικές διδασκαλίας και μάθησης. Η Εκπαίδευση για την </w:t>
      </w:r>
      <w:proofErr w:type="spellStart"/>
      <w:r w:rsidRPr="0008473D">
        <w:rPr>
          <w:rFonts w:ascii="Calibri" w:hAnsi="Calibri" w:cs="Calibri"/>
        </w:rPr>
        <w:t>Αειφορία</w:t>
      </w:r>
      <w:proofErr w:type="spellEnd"/>
      <w:r w:rsidRPr="0008473D">
        <w:rPr>
          <w:rFonts w:ascii="Calibri" w:hAnsi="Calibri" w:cs="Calibri"/>
        </w:rPr>
        <w:t xml:space="preserve"> αποτελεί </w:t>
      </w:r>
      <w:proofErr w:type="spellStart"/>
      <w:r w:rsidRPr="0008473D">
        <w:rPr>
          <w:rFonts w:ascii="Calibri" w:hAnsi="Calibri" w:cs="Calibri"/>
        </w:rPr>
        <w:t>άσκηση</w:t>
      </w:r>
      <w:proofErr w:type="spellEnd"/>
      <w:r w:rsidRPr="0008473D">
        <w:rPr>
          <w:rFonts w:ascii="Calibri" w:hAnsi="Calibri" w:cs="Calibri"/>
        </w:rPr>
        <w:t xml:space="preserve"> </w:t>
      </w:r>
      <w:proofErr w:type="spellStart"/>
      <w:r w:rsidRPr="0008473D">
        <w:rPr>
          <w:rFonts w:ascii="Calibri" w:hAnsi="Calibri" w:cs="Calibri"/>
        </w:rPr>
        <w:t>κοινωνικής</w:t>
      </w:r>
      <w:proofErr w:type="spellEnd"/>
      <w:r w:rsidRPr="0008473D">
        <w:rPr>
          <w:rFonts w:ascii="Calibri" w:hAnsi="Calibri" w:cs="Calibri"/>
        </w:rPr>
        <w:t xml:space="preserve"> </w:t>
      </w:r>
      <w:proofErr w:type="spellStart"/>
      <w:r w:rsidRPr="0008473D">
        <w:rPr>
          <w:rFonts w:ascii="Calibri" w:hAnsi="Calibri" w:cs="Calibri"/>
        </w:rPr>
        <w:t>εκπαίδευσης</w:t>
      </w:r>
      <w:proofErr w:type="spellEnd"/>
      <w:r w:rsidRPr="0008473D">
        <w:rPr>
          <w:rFonts w:ascii="Calibri" w:hAnsi="Calibri" w:cs="Calibri"/>
        </w:rPr>
        <w:t xml:space="preserve">, με  </w:t>
      </w:r>
      <w:proofErr w:type="spellStart"/>
      <w:r w:rsidRPr="0008473D">
        <w:rPr>
          <w:rFonts w:ascii="Calibri" w:hAnsi="Calibri" w:cs="Calibri"/>
        </w:rPr>
        <w:t>στόχο</w:t>
      </w:r>
      <w:proofErr w:type="spellEnd"/>
      <w:r w:rsidRPr="0008473D">
        <w:rPr>
          <w:rFonts w:ascii="Calibri" w:hAnsi="Calibri" w:cs="Calibri"/>
        </w:rPr>
        <w:t xml:space="preserve"> τη </w:t>
      </w:r>
      <w:proofErr w:type="spellStart"/>
      <w:r w:rsidRPr="0008473D">
        <w:rPr>
          <w:rFonts w:ascii="Calibri" w:hAnsi="Calibri" w:cs="Calibri"/>
        </w:rPr>
        <w:t>διαμόρφωση</w:t>
      </w:r>
      <w:proofErr w:type="spellEnd"/>
      <w:r w:rsidRPr="0008473D">
        <w:rPr>
          <w:rFonts w:ascii="Calibri" w:hAnsi="Calibri" w:cs="Calibri"/>
        </w:rPr>
        <w:t xml:space="preserve"> </w:t>
      </w:r>
      <w:proofErr w:type="spellStart"/>
      <w:r w:rsidRPr="0008473D">
        <w:rPr>
          <w:rFonts w:ascii="Calibri" w:hAnsi="Calibri" w:cs="Calibri"/>
        </w:rPr>
        <w:t>πολιτών</w:t>
      </w:r>
      <w:proofErr w:type="spellEnd"/>
      <w:r w:rsidRPr="0008473D">
        <w:rPr>
          <w:rFonts w:ascii="Calibri" w:hAnsi="Calibri" w:cs="Calibri"/>
        </w:rPr>
        <w:t xml:space="preserve"> οι οποίοι θα </w:t>
      </w:r>
      <w:proofErr w:type="spellStart"/>
      <w:r w:rsidRPr="0008473D">
        <w:rPr>
          <w:rFonts w:ascii="Calibri" w:hAnsi="Calibri" w:cs="Calibri"/>
        </w:rPr>
        <w:t>κάνουν</w:t>
      </w:r>
      <w:proofErr w:type="spellEnd"/>
      <w:r w:rsidRPr="0008473D">
        <w:rPr>
          <w:rFonts w:ascii="Calibri" w:hAnsi="Calibri" w:cs="Calibri"/>
        </w:rPr>
        <w:t xml:space="preserve"> </w:t>
      </w:r>
      <w:proofErr w:type="spellStart"/>
      <w:r w:rsidRPr="0008473D">
        <w:rPr>
          <w:rFonts w:ascii="Calibri" w:hAnsi="Calibri" w:cs="Calibri"/>
        </w:rPr>
        <w:t>δυνατη</w:t>
      </w:r>
      <w:proofErr w:type="spellEnd"/>
      <w:r w:rsidRPr="0008473D">
        <w:rPr>
          <w:rFonts w:ascii="Calibri" w:hAnsi="Calibri" w:cs="Calibri"/>
        </w:rPr>
        <w:t xml:space="preserve">́ τη </w:t>
      </w:r>
      <w:proofErr w:type="spellStart"/>
      <w:r w:rsidRPr="0008473D">
        <w:rPr>
          <w:rFonts w:ascii="Calibri" w:hAnsi="Calibri" w:cs="Calibri"/>
        </w:rPr>
        <w:t>σημαντικη</w:t>
      </w:r>
      <w:proofErr w:type="spellEnd"/>
      <w:r w:rsidRPr="0008473D">
        <w:rPr>
          <w:rFonts w:ascii="Calibri" w:hAnsi="Calibri" w:cs="Calibri"/>
        </w:rPr>
        <w:t xml:space="preserve">́ </w:t>
      </w:r>
      <w:proofErr w:type="spellStart"/>
      <w:r w:rsidRPr="0008473D">
        <w:rPr>
          <w:rFonts w:ascii="Calibri" w:hAnsi="Calibri" w:cs="Calibri"/>
        </w:rPr>
        <w:t>αλλαγη</w:t>
      </w:r>
      <w:proofErr w:type="spellEnd"/>
      <w:r w:rsidRPr="0008473D">
        <w:rPr>
          <w:rFonts w:ascii="Calibri" w:hAnsi="Calibri" w:cs="Calibri"/>
        </w:rPr>
        <w:t xml:space="preserve">́ που </w:t>
      </w:r>
      <w:proofErr w:type="spellStart"/>
      <w:r w:rsidRPr="0008473D">
        <w:rPr>
          <w:rFonts w:ascii="Calibri" w:hAnsi="Calibri" w:cs="Calibri"/>
        </w:rPr>
        <w:t>απαιτείται</w:t>
      </w:r>
      <w:proofErr w:type="spellEnd"/>
      <w:r w:rsidRPr="0008473D">
        <w:rPr>
          <w:rFonts w:ascii="Calibri" w:hAnsi="Calibri" w:cs="Calibri"/>
        </w:rPr>
        <w:t xml:space="preserve"> για τον μετασχηματισμό των κοινωνιών προς την </w:t>
      </w:r>
      <w:proofErr w:type="spellStart"/>
      <w:r w:rsidRPr="0008473D">
        <w:rPr>
          <w:rFonts w:ascii="Calibri" w:hAnsi="Calibri" w:cs="Calibri"/>
        </w:rPr>
        <w:t>αειφορία</w:t>
      </w:r>
      <w:proofErr w:type="spellEnd"/>
      <w:r w:rsidRPr="0008473D">
        <w:rPr>
          <w:rFonts w:ascii="Calibri" w:hAnsi="Calibri" w:cs="Calibri"/>
        </w:rPr>
        <w:t xml:space="preserve">. Ως εκπαίδευση που στοχεύει στη διαμόρφωση ενεργών και κριτικά σκεπτόμενων δημοκρατικών πολιτών, αντλεί τις παιδαγωγικές της καταβολές από την κριτική παιδαγωγική και καλλιεργεί δεξιότητες «όπως αυτές της συνεργασίας, της διαλλακτικότητας, της διαπραγμάτευσης και της συναίνεσης για την επίτευξη ενός κοινού στόχου». </w:t>
      </w: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jc w:val="both"/>
        <w:rPr>
          <w:rFonts w:ascii="Calibri" w:hAnsi="Calibri" w:cs="Calibri"/>
        </w:rPr>
      </w:pPr>
      <w:r w:rsidRPr="0008473D">
        <w:rPr>
          <w:rFonts w:ascii="Calibri" w:hAnsi="Calibri" w:cs="Calibri"/>
        </w:rPr>
        <w:t>Με βάση τις παραπάνω παιδαγωγικές παραδοχές, το προτεινόμενο πρόγραμμα δεξιοτήτων προσεγγίζει την πανδημία μέσα από συμμετοχικές διδακτικές δραστηριότητες οι οποίες αναδεικνύουν τη συστημική διασύνδεση βασικών πτυχών της. Αναλυτικότερα, το προτεινόμενο πρόγραμμα αναπτύσσει τη συστημική σκέψη, καθώς με τις δραστηριότητές του βοηθά τους/τις μαθητές/</w:t>
      </w:r>
      <w:proofErr w:type="spellStart"/>
      <w:r w:rsidRPr="0008473D">
        <w:rPr>
          <w:rFonts w:ascii="Calibri" w:hAnsi="Calibri" w:cs="Calibri"/>
        </w:rPr>
        <w:t>τριες</w:t>
      </w:r>
      <w:proofErr w:type="spellEnd"/>
      <w:r w:rsidRPr="0008473D">
        <w:rPr>
          <w:rFonts w:ascii="Calibri" w:hAnsi="Calibri" w:cs="Calibri"/>
        </w:rPr>
        <w:t xml:space="preserve"> να εξετάσουν σύνθετα συστήματα, να εντοπίσουν την αλληλεξάρτηση και την αλληλεπίδραση μεταξύ των διαφορετικών μερών  τους και να αντιληφθούν ότι κάθε επιλογή ή ενέργεια που αφορά ένα μέρος του συστήματος έχει αρνητικές ή θετικές επιπτώσεις στα υπόλοιπα μέρη του.  Επίσης, καλλιεργεί την κριτική σκέψη μέσω της μελέτης του φαινομένου της πανδημίας, καθώς οι μαθητές/</w:t>
      </w:r>
      <w:proofErr w:type="spellStart"/>
      <w:r w:rsidRPr="0008473D">
        <w:rPr>
          <w:rFonts w:ascii="Calibri" w:hAnsi="Calibri" w:cs="Calibri"/>
        </w:rPr>
        <w:t>τριες</w:t>
      </w:r>
      <w:proofErr w:type="spellEnd"/>
      <w:r w:rsidRPr="0008473D">
        <w:rPr>
          <w:rFonts w:ascii="Calibri" w:hAnsi="Calibri" w:cs="Calibri"/>
        </w:rPr>
        <w:t xml:space="preserve"> καλούνται να αναλύσουν και να συνθέσουν τις διαφορετικές πτυχές του. Επιπλέον, εξασκεί τους/τις μαθητές/</w:t>
      </w:r>
      <w:proofErr w:type="spellStart"/>
      <w:r w:rsidRPr="0008473D">
        <w:rPr>
          <w:rFonts w:ascii="Calibri" w:hAnsi="Calibri" w:cs="Calibri"/>
        </w:rPr>
        <w:t>τριες</w:t>
      </w:r>
      <w:proofErr w:type="spellEnd"/>
      <w:r w:rsidRPr="0008473D">
        <w:rPr>
          <w:rFonts w:ascii="Calibri" w:hAnsi="Calibri" w:cs="Calibri"/>
        </w:rPr>
        <w:t xml:space="preserve"> στη δεξιότητα της συνεργασίας, καθώς οι δραστηριότητες, στην πλειονότητά τους, διεξάγονται συνεργατικά. Μέσα από αυτές τα παιδιά έχουν την ευκαιρία να αντιληφθούν ότι κάθε άνθρωπος έχει τις προσωπικές του ιδέες και ικανότητες, και, κατά συνέπεια, μέσω της συνεργασίας εκπαιδεύονται στην ανοχή, τη διαχείριση  διαφωνιών, τη διαλλακτικότητα και τη διαπραγμάτευση για την επίτευξη ενός κοινού σκοπού. Τέλος, προάγει τη δεξιότητα της επικοινωνίας καθώς, κατά την εφαρμογή των δραστηριοτήτων του, οι μαθητές/</w:t>
      </w:r>
      <w:proofErr w:type="spellStart"/>
      <w:r w:rsidRPr="0008473D">
        <w:rPr>
          <w:rFonts w:ascii="Calibri" w:hAnsi="Calibri" w:cs="Calibri"/>
        </w:rPr>
        <w:t>τριες</w:t>
      </w:r>
      <w:proofErr w:type="spellEnd"/>
      <w:r w:rsidRPr="0008473D">
        <w:rPr>
          <w:rFonts w:ascii="Calibri" w:hAnsi="Calibri" w:cs="Calibri"/>
        </w:rPr>
        <w:t xml:space="preserve"> καλούνται να ακροαστούν ή να διαβάσουν με προσοχή μηνύματα για  να κατανοήσουν το νόημά τους.</w:t>
      </w:r>
    </w:p>
    <w:p w:rsidR="0008473D" w:rsidRPr="0008473D" w:rsidRDefault="0008473D" w:rsidP="0008473D">
      <w:pPr>
        <w:spacing w:after="0" w:line="276" w:lineRule="auto"/>
        <w:rPr>
          <w:rFonts w:ascii="Calibri" w:eastAsia="Times New Roman" w:hAnsi="Calibri" w:cs="Calibri"/>
          <w:kern w:val="0"/>
          <w14:ligatures w14:val="none"/>
        </w:rPr>
      </w:pPr>
    </w:p>
    <w:p w:rsidR="0008473D" w:rsidRPr="0008473D" w:rsidRDefault="0008473D" w:rsidP="0008473D">
      <w:pPr>
        <w:tabs>
          <w:tab w:val="num" w:pos="284"/>
        </w:tabs>
        <w:spacing w:after="0" w:line="276" w:lineRule="auto"/>
        <w:ind w:left="284" w:hanging="284"/>
        <w:jc w:val="both"/>
        <w:outlineLvl w:val="0"/>
        <w:rPr>
          <w:rFonts w:ascii="Calibri" w:eastAsia="Calibri" w:hAnsi="Calibri" w:cs="Calibri"/>
          <w:b/>
          <w:kern w:val="0"/>
          <w14:ligatures w14:val="none"/>
        </w:rPr>
      </w:pPr>
      <w:r w:rsidRPr="0008473D">
        <w:rPr>
          <w:rFonts w:ascii="Calibri" w:eastAsia="Calibri" w:hAnsi="Calibri" w:cs="Calibri"/>
          <w:b/>
          <w:kern w:val="0"/>
          <w14:ligatures w14:val="none"/>
        </w:rPr>
        <w:t>Προσβασιμότητα</w:t>
      </w:r>
    </w:p>
    <w:p w:rsidR="0008473D" w:rsidRPr="0008473D" w:rsidRDefault="0008473D" w:rsidP="0008473D">
      <w:pPr>
        <w:tabs>
          <w:tab w:val="num" w:pos="284"/>
        </w:tabs>
        <w:spacing w:after="0" w:line="276" w:lineRule="auto"/>
        <w:ind w:left="284" w:hanging="284"/>
        <w:jc w:val="both"/>
        <w:outlineLvl w:val="0"/>
        <w:rPr>
          <w:rFonts w:ascii="Calibri" w:eastAsia="Calibri" w:hAnsi="Calibri" w:cs="Calibri"/>
          <w:b/>
          <w:kern w:val="0"/>
          <w14:ligatures w14:val="none"/>
        </w:rPr>
      </w:pP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jc w:val="both"/>
        <w:rPr>
          <w:rFonts w:ascii="Calibri" w:eastAsia="Times New Roman" w:hAnsi="Calibri" w:cs="Calibri"/>
          <w:kern w:val="0"/>
          <w14:ligatures w14:val="none"/>
        </w:rPr>
      </w:pP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jc w:val="both"/>
        <w:rPr>
          <w:rFonts w:ascii="Calibri" w:eastAsia="Times New Roman" w:hAnsi="Calibri" w:cs="Calibri"/>
          <w:kern w:val="0"/>
          <w14:ligatures w14:val="none"/>
        </w:rPr>
      </w:pP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jc w:val="both"/>
        <w:rPr>
          <w:rFonts w:ascii="Calibri" w:eastAsia="Times New Roman" w:hAnsi="Calibri" w:cs="Calibri"/>
          <w:kern w:val="0"/>
          <w14:ligatures w14:val="none"/>
        </w:rPr>
      </w:pPr>
    </w:p>
    <w:p w:rsidR="0008473D" w:rsidRPr="0008473D" w:rsidRDefault="0008473D" w:rsidP="0008473D">
      <w:pPr>
        <w:spacing w:after="0" w:line="276" w:lineRule="auto"/>
        <w:contextualSpacing/>
        <w:jc w:val="both"/>
        <w:rPr>
          <w:rFonts w:ascii="Calibri" w:eastAsia="Times New Roman" w:hAnsi="Calibri" w:cs="Calibri"/>
          <w:kern w:val="0"/>
          <w14:ligatures w14:val="none"/>
        </w:rPr>
      </w:pPr>
    </w:p>
    <w:p w:rsidR="0008473D" w:rsidRPr="0008473D" w:rsidRDefault="0008473D" w:rsidP="0008473D">
      <w:pPr>
        <w:tabs>
          <w:tab w:val="num" w:pos="284"/>
        </w:tabs>
        <w:spacing w:after="0" w:line="276" w:lineRule="auto"/>
        <w:ind w:left="284" w:hanging="284"/>
        <w:jc w:val="both"/>
        <w:outlineLvl w:val="0"/>
        <w:rPr>
          <w:rFonts w:ascii="Calibri" w:eastAsia="Calibri" w:hAnsi="Calibri" w:cs="Calibri"/>
          <w:b/>
          <w:kern w:val="0"/>
          <w14:ligatures w14:val="none"/>
        </w:rPr>
      </w:pPr>
    </w:p>
    <w:p w:rsidR="0008473D" w:rsidRPr="0008473D" w:rsidRDefault="0008473D" w:rsidP="0008473D">
      <w:pPr>
        <w:tabs>
          <w:tab w:val="num" w:pos="284"/>
        </w:tabs>
        <w:spacing w:after="0" w:line="276" w:lineRule="auto"/>
        <w:ind w:left="284" w:hanging="284"/>
        <w:jc w:val="both"/>
        <w:outlineLvl w:val="0"/>
        <w:rPr>
          <w:rFonts w:ascii="Calibri" w:eastAsia="Calibri" w:hAnsi="Calibri" w:cs="Calibri"/>
          <w:b/>
          <w:kern w:val="0"/>
          <w14:ligatures w14:val="none"/>
        </w:rPr>
      </w:pPr>
      <w:r w:rsidRPr="0008473D">
        <w:rPr>
          <w:rFonts w:ascii="Calibri" w:eastAsia="Calibri" w:hAnsi="Calibri" w:cs="Calibri"/>
          <w:b/>
          <w:kern w:val="0"/>
          <w14:ligatures w14:val="none"/>
        </w:rPr>
        <w:lastRenderedPageBreak/>
        <w:t xml:space="preserve">Δυνατότητα επέκτασης </w:t>
      </w:r>
    </w:p>
    <w:p w:rsidR="0008473D" w:rsidRPr="0008473D" w:rsidRDefault="0008473D" w:rsidP="0008473D">
      <w:pPr>
        <w:tabs>
          <w:tab w:val="num" w:pos="284"/>
        </w:tabs>
        <w:spacing w:after="0" w:line="276" w:lineRule="auto"/>
        <w:ind w:left="284" w:hanging="284"/>
        <w:jc w:val="both"/>
        <w:outlineLvl w:val="0"/>
        <w:rPr>
          <w:rFonts w:ascii="Calibri" w:eastAsia="Calibri" w:hAnsi="Calibri" w:cs="Calibri"/>
          <w:kern w:val="0"/>
          <w14:ligatures w14:val="none"/>
        </w:rPr>
      </w:pPr>
    </w:p>
    <w:p w:rsidR="0008473D" w:rsidRPr="0008473D" w:rsidRDefault="0008473D" w:rsidP="0008473D">
      <w:pPr>
        <w:pBdr>
          <w:top w:val="single" w:sz="4" w:space="1" w:color="auto"/>
          <w:left w:val="single" w:sz="4" w:space="4" w:color="auto"/>
          <w:bottom w:val="single" w:sz="4" w:space="1" w:color="auto"/>
          <w:right w:val="single" w:sz="4" w:space="4" w:color="auto"/>
        </w:pBdr>
        <w:tabs>
          <w:tab w:val="left" w:pos="1104"/>
          <w:tab w:val="left" w:pos="1800"/>
        </w:tabs>
        <w:spacing w:after="0" w:line="276" w:lineRule="auto"/>
        <w:contextualSpacing/>
        <w:jc w:val="both"/>
        <w:rPr>
          <w:rFonts w:ascii="Calibri" w:eastAsia="Times New Roman" w:hAnsi="Calibri" w:cs="Calibri"/>
          <w:kern w:val="0"/>
          <w14:ligatures w14:val="none"/>
        </w:rPr>
      </w:pPr>
      <w:r w:rsidRPr="0008473D">
        <w:rPr>
          <w:rFonts w:ascii="Calibri" w:eastAsia="Times New Roman" w:hAnsi="Calibri" w:cs="Calibri"/>
          <w:kern w:val="0"/>
          <w14:ligatures w14:val="none"/>
        </w:rPr>
        <w:t>Ο</w:t>
      </w:r>
      <w:r w:rsidRPr="0008473D">
        <w:rPr>
          <w:rFonts w:ascii="Calibri" w:eastAsia="Times New Roman" w:hAnsi="Calibri" w:cs="Calibri"/>
          <w:kern w:val="0"/>
          <w14:ligatures w14:val="none"/>
        </w:rPr>
        <w:t>/Η</w:t>
      </w:r>
      <w:r w:rsidRPr="0008473D">
        <w:rPr>
          <w:rFonts w:ascii="Calibri" w:eastAsia="Times New Roman" w:hAnsi="Calibri" w:cs="Calibri"/>
          <w:kern w:val="0"/>
          <w14:ligatures w14:val="none"/>
        </w:rPr>
        <w:t xml:space="preserve"> εκπαιδευτικός μπορεί να εστιάσει σε επιλεγμένα θέματα όπως η λειτουργία των Διεθνών Οργανισμών και τα τουριστικά επαγγέλματα καθώς και επαγγελματικά πεδία που σχετίζονται με την ιστορία, τη διπλωματία και τις διεθνείς σχέσεις. </w:t>
      </w:r>
    </w:p>
    <w:p w:rsidR="0008473D" w:rsidRPr="0008473D" w:rsidRDefault="0008473D" w:rsidP="0008473D">
      <w:pPr>
        <w:spacing w:after="0" w:line="276" w:lineRule="auto"/>
        <w:contextualSpacing/>
        <w:jc w:val="both"/>
        <w:rPr>
          <w:rFonts w:ascii="Calibri" w:eastAsia="Times New Roman" w:hAnsi="Calibri" w:cs="Calibri"/>
          <w:kern w:val="0"/>
          <w14:ligatures w14:val="none"/>
        </w:rPr>
      </w:pPr>
    </w:p>
    <w:p w:rsidR="0008473D" w:rsidRPr="0008473D" w:rsidRDefault="0008473D" w:rsidP="0008473D">
      <w:pPr>
        <w:spacing w:after="0" w:line="276" w:lineRule="auto"/>
        <w:contextualSpacing/>
        <w:jc w:val="both"/>
        <w:rPr>
          <w:rFonts w:ascii="Calibri" w:eastAsia="Times New Roman" w:hAnsi="Calibri" w:cs="Calibri"/>
          <w:kern w:val="0"/>
          <w14:ligatures w14:val="none"/>
        </w:rPr>
      </w:pPr>
    </w:p>
    <w:p w:rsidR="0008473D" w:rsidRPr="0008473D" w:rsidRDefault="0008473D" w:rsidP="0008473D">
      <w:pPr>
        <w:tabs>
          <w:tab w:val="num" w:pos="284"/>
        </w:tabs>
        <w:spacing w:after="0" w:line="276" w:lineRule="auto"/>
        <w:ind w:left="284" w:hanging="284"/>
        <w:jc w:val="both"/>
        <w:outlineLvl w:val="0"/>
        <w:rPr>
          <w:rFonts w:ascii="Calibri" w:eastAsia="Calibri" w:hAnsi="Calibri" w:cs="Calibri"/>
          <w:b/>
          <w:kern w:val="0"/>
          <w14:ligatures w14:val="none"/>
        </w:rPr>
      </w:pPr>
      <w:r w:rsidRPr="0008473D">
        <w:rPr>
          <w:rFonts w:ascii="Calibri" w:eastAsia="Calibri" w:hAnsi="Calibri" w:cs="Calibri"/>
          <w:b/>
          <w:kern w:val="0"/>
          <w14:ligatures w14:val="none"/>
        </w:rPr>
        <w:t>Αξιολόγηση</w:t>
      </w:r>
    </w:p>
    <w:p w:rsidR="0008473D" w:rsidRPr="0008473D" w:rsidRDefault="0008473D" w:rsidP="0008473D">
      <w:pPr>
        <w:tabs>
          <w:tab w:val="num" w:pos="284"/>
        </w:tabs>
        <w:spacing w:after="0" w:line="276" w:lineRule="auto"/>
        <w:ind w:left="284" w:hanging="284"/>
        <w:jc w:val="both"/>
        <w:outlineLvl w:val="0"/>
        <w:rPr>
          <w:rFonts w:ascii="Calibri" w:eastAsia="Calibri" w:hAnsi="Calibri" w:cs="Calibri"/>
          <w:kern w:val="0"/>
          <w14:ligatures w14:val="none"/>
        </w:rPr>
      </w:pP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jc w:val="both"/>
        <w:rPr>
          <w:rFonts w:ascii="Calibri" w:eastAsia="Times New Roman" w:hAnsi="Calibri" w:cs="Calibri"/>
          <w:kern w:val="0"/>
          <w14:ligatures w14:val="none"/>
        </w:rPr>
      </w:pP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jc w:val="both"/>
        <w:rPr>
          <w:rFonts w:ascii="Calibri" w:eastAsia="Times New Roman" w:hAnsi="Calibri" w:cs="Calibri"/>
          <w:kern w:val="0"/>
          <w14:ligatures w14:val="none"/>
        </w:rPr>
      </w:pPr>
      <w:proofErr w:type="spellStart"/>
      <w:r w:rsidRPr="0008473D">
        <w:rPr>
          <w:rFonts w:ascii="Calibri" w:eastAsia="Times New Roman" w:hAnsi="Calibri" w:cs="Calibri"/>
          <w:kern w:val="0"/>
          <w14:ligatures w14:val="none"/>
        </w:rPr>
        <w:t>Αυτοαξιολόγηση</w:t>
      </w:r>
      <w:proofErr w:type="spellEnd"/>
      <w:r w:rsidRPr="0008473D">
        <w:rPr>
          <w:rFonts w:ascii="Calibri" w:eastAsia="Times New Roman" w:hAnsi="Calibri" w:cs="Calibri"/>
          <w:kern w:val="0"/>
          <w14:ligatures w14:val="none"/>
        </w:rPr>
        <w:t xml:space="preserve"> επίτευξης στόχων προγράμματος, σελ. 198 (οι στόχοι που αναφέρονται στα δημόσια αγαθά και στη διεθνή συνεργασία) και </w:t>
      </w:r>
      <w:proofErr w:type="spellStart"/>
      <w:r w:rsidRPr="0008473D">
        <w:rPr>
          <w:rFonts w:ascii="Calibri" w:eastAsia="Times New Roman" w:hAnsi="Calibri" w:cs="Calibri"/>
          <w:kern w:val="0"/>
          <w14:ligatures w14:val="none"/>
        </w:rPr>
        <w:t>αυτοαξιολόγηση</w:t>
      </w:r>
      <w:proofErr w:type="spellEnd"/>
      <w:r w:rsidRPr="0008473D">
        <w:rPr>
          <w:rFonts w:ascii="Calibri" w:eastAsia="Times New Roman" w:hAnsi="Calibri" w:cs="Calibri"/>
          <w:kern w:val="0"/>
          <w14:ligatures w14:val="none"/>
        </w:rPr>
        <w:t xml:space="preserve"> των στάσεων μέσα στην ομάδα (σελ. 199).</w:t>
      </w: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jc w:val="both"/>
        <w:rPr>
          <w:rFonts w:ascii="Calibri" w:eastAsia="Times New Roman" w:hAnsi="Calibri" w:cs="Calibri"/>
          <w:kern w:val="0"/>
          <w14:ligatures w14:val="none"/>
        </w:rPr>
      </w:pPr>
      <w:r w:rsidRPr="0008473D">
        <w:rPr>
          <w:rFonts w:ascii="Calibri" w:eastAsia="Times New Roman" w:hAnsi="Calibri" w:cs="Calibri"/>
          <w:kern w:val="0"/>
          <w14:ligatures w14:val="none"/>
        </w:rPr>
        <w:t>Τέλος, οι μαθητές/</w:t>
      </w:r>
      <w:proofErr w:type="spellStart"/>
      <w:r w:rsidRPr="0008473D">
        <w:rPr>
          <w:rFonts w:ascii="Calibri" w:eastAsia="Times New Roman" w:hAnsi="Calibri" w:cs="Calibri"/>
          <w:kern w:val="0"/>
          <w14:ligatures w14:val="none"/>
        </w:rPr>
        <w:t>τριες</w:t>
      </w:r>
      <w:proofErr w:type="spellEnd"/>
      <w:r w:rsidRPr="0008473D">
        <w:rPr>
          <w:rFonts w:ascii="Calibri" w:eastAsia="Times New Roman" w:hAnsi="Calibri" w:cs="Calibri"/>
          <w:kern w:val="0"/>
          <w14:ligatures w14:val="none"/>
        </w:rPr>
        <w:t xml:space="preserve"> αναφέρουν δύο στοιχεία των δραστηριοτήτων που τους άρεσαν περισσότερο και λιγότερο εξηγώντας γιατί. </w:t>
      </w: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rPr>
          <w:rFonts w:ascii="Calibri" w:eastAsia="Times New Roman" w:hAnsi="Calibri" w:cs="Calibri"/>
          <w:kern w:val="0"/>
          <w14:ligatures w14:val="none"/>
        </w:rPr>
      </w:pPr>
      <w:r w:rsidRPr="0008473D">
        <w:rPr>
          <w:rFonts w:ascii="Calibri" w:eastAsia="Times New Roman" w:hAnsi="Calibri" w:cs="Calibri"/>
          <w:kern w:val="0"/>
          <w14:ligatures w14:val="none"/>
        </w:rPr>
        <w:t xml:space="preserve">Σημείωση: Ανάλογα με το ενδιαφέρον της τάξης, τον χρόνο που δαπανήθηκε, την πρόθεση </w:t>
      </w: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rPr>
          <w:rFonts w:ascii="Calibri" w:eastAsia="Times New Roman" w:hAnsi="Calibri" w:cs="Calibri"/>
          <w:kern w:val="0"/>
          <w14:ligatures w14:val="none"/>
        </w:rPr>
      </w:pPr>
      <w:r w:rsidRPr="0008473D">
        <w:rPr>
          <w:rFonts w:ascii="Calibri" w:eastAsia="Times New Roman" w:hAnsi="Calibri" w:cs="Calibri"/>
          <w:kern w:val="0"/>
          <w14:ligatures w14:val="none"/>
        </w:rPr>
        <w:t xml:space="preserve">συνέχισης με άλλες εκπαιδευτικές δραστηριότητες και με τα προβλήματα που παρουσιάστηκαν, προτείνεται η αξιολόγηση να μην περιοριστεί στις παραπάνω τυπικές φόρμες, αλλά να πάρει τη μορφή συζήτησης </w:t>
      </w:r>
      <w:proofErr w:type="spellStart"/>
      <w:r w:rsidRPr="0008473D">
        <w:rPr>
          <w:rFonts w:ascii="Calibri" w:eastAsia="Times New Roman" w:hAnsi="Calibri" w:cs="Calibri"/>
          <w:kern w:val="0"/>
          <w14:ligatures w14:val="none"/>
        </w:rPr>
        <w:t>αναστοχασμού</w:t>
      </w:r>
      <w:proofErr w:type="spellEnd"/>
      <w:r w:rsidRPr="0008473D">
        <w:rPr>
          <w:rFonts w:ascii="Calibri" w:eastAsia="Times New Roman" w:hAnsi="Calibri" w:cs="Calibri"/>
          <w:kern w:val="0"/>
          <w14:ligatures w14:val="none"/>
        </w:rPr>
        <w:t xml:space="preserve"> στην ολομέλεια  της τάξης. Σε μια τέτοια συζήτηση κάθε μαθητής/</w:t>
      </w:r>
      <w:proofErr w:type="spellStart"/>
      <w:r w:rsidRPr="0008473D">
        <w:rPr>
          <w:rFonts w:ascii="Calibri" w:eastAsia="Times New Roman" w:hAnsi="Calibri" w:cs="Calibri"/>
          <w:kern w:val="0"/>
          <w14:ligatures w14:val="none"/>
        </w:rPr>
        <w:t>τρια</w:t>
      </w:r>
      <w:proofErr w:type="spellEnd"/>
      <w:r w:rsidRPr="0008473D">
        <w:rPr>
          <w:rFonts w:ascii="Calibri" w:eastAsia="Times New Roman" w:hAnsi="Calibri" w:cs="Calibri"/>
          <w:kern w:val="0"/>
          <w14:ligatures w14:val="none"/>
        </w:rPr>
        <w:t xml:space="preserve"> ενθαρρύνεται να περιγράψει πώς βίωσε ο ίδιος/α την πορεία των δραστηριοτήτων, τι αποκόμισε, τι τον/την κούρασε, τι προκάλεσε το ενδιαφέρον του/της και τι θα ήθελε να ερευνήσει περισσότερο. Αντίστοιχη εμβάθυνση μπορεί να γίνει και σε θέματα συνεργασίας </w:t>
      </w: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rPr>
          <w:rFonts w:ascii="Calibri" w:eastAsia="Times New Roman" w:hAnsi="Calibri" w:cs="Calibri"/>
          <w:kern w:val="0"/>
          <w14:ligatures w14:val="none"/>
        </w:rPr>
      </w:pPr>
      <w:r w:rsidRPr="0008473D">
        <w:rPr>
          <w:rFonts w:ascii="Calibri" w:eastAsia="Times New Roman" w:hAnsi="Calibri" w:cs="Calibri"/>
          <w:kern w:val="0"/>
          <w14:ligatures w14:val="none"/>
        </w:rPr>
        <w:t>κάθε ομάδας.</w:t>
      </w: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jc w:val="both"/>
        <w:rPr>
          <w:rFonts w:ascii="Calibri" w:eastAsia="Times New Roman" w:hAnsi="Calibri" w:cs="Calibri"/>
          <w:kern w:val="0"/>
          <w14:ligatures w14:val="none"/>
        </w:rPr>
      </w:pPr>
    </w:p>
    <w:p w:rsidR="0008473D" w:rsidRPr="0008473D" w:rsidRDefault="0008473D" w:rsidP="0008473D">
      <w:pPr>
        <w:pBdr>
          <w:top w:val="single" w:sz="4" w:space="1" w:color="auto"/>
          <w:left w:val="single" w:sz="4" w:space="4" w:color="auto"/>
          <w:bottom w:val="single" w:sz="4" w:space="1" w:color="auto"/>
          <w:right w:val="single" w:sz="4" w:space="4" w:color="auto"/>
        </w:pBdr>
        <w:spacing w:after="0" w:line="276" w:lineRule="auto"/>
        <w:contextualSpacing/>
        <w:jc w:val="both"/>
        <w:rPr>
          <w:rFonts w:ascii="Calibri" w:eastAsia="Times New Roman" w:hAnsi="Calibri" w:cs="Calibri"/>
          <w:kern w:val="0"/>
          <w14:ligatures w14:val="none"/>
        </w:rPr>
      </w:pPr>
    </w:p>
    <w:p w:rsidR="0008473D" w:rsidRPr="0008473D" w:rsidRDefault="0008473D" w:rsidP="0008473D">
      <w:pPr>
        <w:spacing w:after="0" w:line="276" w:lineRule="auto"/>
        <w:contextualSpacing/>
        <w:jc w:val="both"/>
        <w:rPr>
          <w:rFonts w:ascii="Calibri" w:eastAsia="Times New Roman" w:hAnsi="Calibri" w:cs="Calibri"/>
          <w:kern w:val="0"/>
          <w14:ligatures w14:val="none"/>
        </w:rPr>
      </w:pPr>
    </w:p>
    <w:p w:rsidR="0008473D" w:rsidRPr="0008473D" w:rsidRDefault="0008473D" w:rsidP="0008473D">
      <w:pPr>
        <w:spacing w:line="276" w:lineRule="auto"/>
        <w:rPr>
          <w:rFonts w:ascii="Calibri" w:eastAsia="Times New Roman" w:hAnsi="Calibri" w:cs="Calibri"/>
          <w:kern w:val="0"/>
          <w14:ligatures w14:val="none"/>
        </w:rPr>
      </w:pPr>
      <w:r w:rsidRPr="0008473D">
        <w:rPr>
          <w:rFonts w:ascii="Calibri" w:eastAsia="Times New Roman" w:hAnsi="Calibri" w:cs="Calibri"/>
          <w:kern w:val="0"/>
          <w14:ligatures w14:val="none"/>
        </w:rPr>
        <w:br w:type="page"/>
      </w:r>
    </w:p>
    <w:p w:rsidR="00AD41CF" w:rsidRDefault="00AD41CF"/>
    <w:sectPr w:rsidR="00AD41CF" w:rsidSect="0008473D">
      <w:pgSz w:w="11906" w:h="16838"/>
      <w:pgMar w:top="1440" w:right="180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4B"/>
    <w:rsid w:val="0008473D"/>
    <w:rsid w:val="00AD41CF"/>
    <w:rsid w:val="00CA74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1B5A"/>
  <w15:chartTrackingRefBased/>
  <w15:docId w15:val="{4FE64478-CD83-44DC-B8E8-E143D454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73D"/>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3345</Characters>
  <Application>Microsoft Office Word</Application>
  <DocSecurity>0</DocSecurity>
  <Lines>27</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2</cp:revision>
  <dcterms:created xsi:type="dcterms:W3CDTF">2024-12-13T07:26:00Z</dcterms:created>
  <dcterms:modified xsi:type="dcterms:W3CDTF">2024-12-13T07:27:00Z</dcterms:modified>
</cp:coreProperties>
</file>